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ATA/563/2013 vom 28. August 2013</w:t>
      </w:r>
    </w:p>
    <w:p>
      <w:r>
        <w:t>GE Cour de justice, 2013-08-28, FR</w:t>
      </w:r>
    </w:p>
    <w:p>
      <w:r>
        <w:rPr>
          <w:b/>
        </w:rPr>
        <w:t xml:space="preserve">Quelle: </w:t>
      </w:r>
      <w:r>
        <w:t>https://mcp.opencaselaw.ch/entscheid/ge_gerichte_ATA_563_2013</w:t>
      </w:r>
    </w:p>
    <w:p>
      <w:r>
        <w:t>FR: GE_GERICHTE ATA/563/2013 du 28 août 2013</w:t>
      </w:r>
    </w:p>
    <w:p>
      <w:r>
        <w:t>IT: GE_GERICHTE ATA/563/2013 del 28 agosto 2013</w:t>
      </w:r>
    </w:p>
    <w:p>
      <w:pPr>
        <w:pStyle w:val="Heading2"/>
      </w:pPr>
      <w:r>
        <w:t>Regeste</w:t>
      </w:r>
    </w:p>
    <w:p>
      <w:r>
        <w:t>Résumé: La vie commune des époux en Suisse ayant pris fin et duré moins de trois ans, le recourant, ressortissant bosniaque, ne peut pas bénéficier d'une autorisation de séjour fondée sur son mariage avec une ressortissante suisse. L'admission d'un cas de rigueur personnelle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La question n'est pas de savoir si la vie du recourant serait plus facile en Suisse, mais seulement de savoir si un retour dans son pays d'origine entraînerait des difficultés de réadaptation insurmontables. Les raisons de la désunion ou le fait que la séparation soit intervenue à l'initiative de l'épouse ne sont pas déterminants. N'ayant pas d'autorisation de séjour, le recourant doit être renvoyé de Suisse, aucun motif interdisant son renvoi ne ressortant du dossier.</w:t>
      </w:r>
    </w:p>
    <w:p>
      <w:pPr>
        <w:pStyle w:val="Heading2"/>
      </w:pPr>
      <w:r>
        <w:t>Erwägungen</w:t>
      </w:r>
    </w:p>
    <w:p>
      <w:r>
        <w:rPr>
          <w:b/>
        </w:rPr>
        <w:t>E. 12</w:t>
      </w:r>
    </w:p>
    <w:p>
      <w:r>
        <w:t>septembre 1985 - LPA - E 5 10). 2)</w:t>
      </w:r>
    </w:p>
    <w:p>
      <w:r>
        <w:t>La LEtr et ses ordonnances, en particulier l’ordonnance relative à l’admission, au séjour et à l’exercice d’une activité lucrative, du 24 octobre 2007 (OASA – 142.201), règlent l’entrée, le séjour et la sortie des étrangers dont le statut juridique n’est pas réglé par d’autres dispositions du droit fédéral ou par des traités internationaux conclus par la Suisse (art. 1 et 2 LEtr). 3)</w:t>
      </w:r>
    </w:p>
    <w:p>
      <w:r>
        <w:t>En vertu de l’art. 42 al. 1 LEtr, le conjoint d’un ressortissant suisse a droit à l’octroi d’une autorisation de séjour et à la prolongation de sa durée de validité à condition de vivre en ménage commun avec lui. 4)</w:t>
      </w:r>
    </w:p>
    <w:p>
      <w:r>
        <w:t>En l’espèce, les époux ne font plus ménage commun depuis le mois d’août 2011 et la reprise de la vie commune n’est pas envisagée. Le recourant ne peut donc plus se prévaloir de son mariage pour obtenir le renouvellement de son autorisation de séjour en Suisse selon l’art. 42 LEtr.</w:t>
      </w:r>
    </w:p>
    <w:p>
      <w:r>
        <w:t>- 6/10 - A/2608/2012 5)</w:t>
      </w:r>
    </w:p>
    <w:p>
      <w:r>
        <w:t>Aux termes de l’art. 50 al. 1 LEtr, après dissolution de la famille, le droit du conjoint à l’octroi d’une autorisation de séjour et à la prolongation de sa durée de validité en vertu des art. 42 et 43 LEtr subsiste dans les cas suivants : - l’union conjugale a duré au moins trois ans et l’intégration est réussie ; - la poursuite du séjour en Suisse s’impose pour des raisons personnelles majeures.</w:t>
      </w:r>
    </w:p>
    <w:p>
      <w:r>
        <w:t>Les notions d’union conjugale et de mariage ne sont pas identiques. L’union conjugale au sens de l’art. 50 al. 1 let. a LEtr suppose l’existence d’une communauté conjugale effectivement vécue, soit une vie commune (Arrêt du Tribunal fédéral 2C_416/2009 du 8 septembre 2009 consid. 2.1.2 ; Directive de l’office fédéral des migrations – ODM - domaine des étrangers, 6, regroupement familial, p. 27 ch. 6.15.1). 6)</w:t>
      </w:r>
    </w:p>
    <w:p>
      <w:r>
        <w:t>En l’espèce, si les époux se sont mariés le 14 juin 2008, le recourant n’a rejoint son épouse en Suisse qu’à la fin du mois de janvier 2011 et c’est dès cette date que la vie commune a débuté. La cohabitation des époux n’a ensuite duré que quelques mois, soit jusqu’à la mi-août. Dans ces circonstances, la communauté de vie synonyme d’union conjugale au sens de l’art. 50 al. 1 let. a LEtr a duré moins de trois ans et le recourant ne peut déduire aucun droit de cette disposition. Les conditions de la base légale précitée étant de nature cumulative, il n’est pas utile d’examiner si l’intégration du recourant est réussie. 7)</w:t>
      </w:r>
    </w:p>
    <w:p>
      <w:r>
        <w:t>Après la dissolution de la famille, et même si l’union conjugale a duré moins de trois ans, l’art. 50 al. 1 let. b LEtr permet au conjoint étranger d’obtenir la prolongation de son autorisation lorsque la poursuite du séjour en Suisse s’impose pour des raisons personnelles majeures. De telles raisons sont notamment données lorsque le conjoint est victime de violence conjugale ou que la réintégration sociale dans le pays de provenance semble fortement compromise (art. 50 al. 2 LEtr et 77 al. 2 OASA). Cette disposition a pour vocation d’éviter les cas de rigueur ou d’extrême gravité (ATF 137 II 1 consid. 3.1 p. 3 ss ; Arrêt du Tribunal fédéral 2C_1035/2012 du 21 décembre 2012 consid. 4. ; ATA/64/2013 du 6 février 2013).</w:t>
      </w:r>
    </w:p>
    <w:p>
      <w:r>
        <w:t>D’après le message du Conseil fédéral du 8 mars 2002 concernant la LEtr, il s’agit de motifs personnels graves exigeant la poursuite du séjour en Suisse, notamment lorsque le conjoint demeurant en Suisse est décédé ou lorsque la réinsertion familiale et sociale dans le pays d’origine s’avérerait particulièrement difficile en raison de l’échec du mariage (FF 2002 3469 p. 3510 ss). Ainsi, l’admission d’un cas de rigueur personnelle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w:t>
      </w:r>
    </w:p>
    <w:p>
      <w:r>
        <w:t>- 7/10 - A/2608/2012 conjugale soient d’une intensité considérable (ATF 137 I 1 consid. 4.1 pp. 7 ss ; 137 II 345 consid. 3.2.1-3.2.3 pp. 348 ss ; ATA/843/2012 du 18 décembre 2012).</w:t>
      </w:r>
    </w:p>
    <w:p>
      <w:r>
        <w:t>L’énumération de ces cas n’est pas exhaustive et laisse aux autorités une certaine liberté d’appréciation fondée sur des motifs humanitaires (ATF 136 II 1 consid. 5.3 p. 4). S’agissant de la réintégration dans le pays d’origine, l’art. 50 al. 2 LEtr exige qu’elle semble fortement compromise. La question n’est donc pas de savoir s’il est plus facile pour la personne concernée de vivre en Suisse, mais uniquement d’examiner si, en cas de retour dans son pays d’origine, les conditions de sa réintégration sociale, au regard de sa situation personnelle, professionnelle et familiale seraient gravement compromises (Arrêts du Tribunal fédéral 2C_894/2012 du 4 février 2013 consid. 4 ; 2C_789/2010 du 31 janvier 2011 consid. 4.2 ; 2C_369/2010 du 4 novembre 2010 consid. 4.1 ; 2C_376/2010 du 18 août 2010 consid. 6.3.1 ; ATA/64/2013 précité). 8)</w:t>
      </w:r>
    </w:p>
    <w:p>
      <w:r>
        <w:t>En l’espèce, le recourant a vécu en Bosnie jusqu’à l’âge de 22 ans et vit en Suisse depuis deux ans seulement. Sa famille vit toujours en Bosnie. Il ne démontre donc pas qu’un retour dans son pays d’origine le mettrait face à des difficultés de réadaptation insurmontables. Sa situation professionnelle ne revêt pas un caractère exceptionnel. Il ne démontre pas la création de liens avec la Suisse tels qu’un retour dans son pays d’origine constitue un sacrifice inexigible. Il fait uniquement valoir les avantages qu’il aurait à poursuivre sa vie en Suisse, ce qui ne suffit pas pour admettre l’existence de raisons personnelles majeures. La question n’est pas de savoir si la vie du recourant serait plus facile en Suisse, mais seulement de savoir si un retour dans son pays d’origine entraînerait des difficultés de réadaptation insurmontables.</w:t>
      </w:r>
    </w:p>
    <w:p>
      <w:r>
        <w:t>Au surplus, les raisons de la désunion ou le fait que la séparation soit intervenue à l’initiative de Mme B______ ne sont pas déterminants. En l’espèce, la honte et la souffrance ressenties par le recourant suite à la séparation ne constituent pas des raisons personnelles majeures au sens de l’art. 50 al. 2 LEtr. 9)</w:t>
      </w:r>
    </w:p>
    <w:p>
      <w:r>
        <w:t>Enfin, l’exécution du renvoi du recourant dans son pays d’origine, avec lequel il a conservé des liens, ne paraît pas être impossible, illicite ou non raisonnablement exigible au sens de l’art. 83. LEtr. 10) Au vu de ce qui précède, le recours sera rejeté. 11) Un émolument de CH 400.- sera mis à la charge du recourant. Vu l’issue du litige, aucune indemnité de procédure ne lui sera allouée (art. 87 LPA).</w:t>
      </w:r>
    </w:p>
    <w:p>
      <w:r>
        <w:t>* * * * *</w:t>
      </w:r>
    </w:p>
    <w:p>
      <w:r>
        <w:t>- 8/10 - A/2608/2012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