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ATA/562/2013 vom 27. August 2013</w:t>
      </w:r>
    </w:p>
    <w:p>
      <w:r>
        <w:t>GE Cour de justice, 2013-08-27, FR</w:t>
      </w:r>
    </w:p>
    <w:p>
      <w:r>
        <w:rPr>
          <w:b/>
        </w:rPr>
        <w:t xml:space="preserve">Quelle: </w:t>
      </w:r>
      <w:r>
        <w:t>https://mcp.opencaselaw.ch/entscheid/ge_gerichte_ATA_562_2013</w:t>
      </w:r>
    </w:p>
    <w:p>
      <w:r>
        <w:t>FR: GE_GERICHTE ATA/562/2013 du 27 août 2013</w:t>
      </w:r>
    </w:p>
    <w:p>
      <w:r>
        <w:t>IT: GE_GERICHTE ATA/562/2013 del 27 agosto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La chambre administrative applique le droit d'office. Elle ne peut pas aller au-delà des conclusions des parties, sans toutefois être liée par les motifs invoqués (art. 69 LPA) ni par l'argumentation juridique développée dans la décision entreprise (P. MOOR/E.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w:t>
      </w:r>
    </w:p>
    <w:p>
      <w:r>
        <w:rPr>
          <w:b/>
        </w:rPr>
        <w:t>E. 3</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p. 310 et les références).</w:t>
      </w:r>
    </w:p>
    <w:p>
      <w:r>
        <w:rPr>
          <w:b/>
        </w:rPr>
        <w:t>E. 4</w:t>
      </w:r>
    </w:p>
    <w:p>
      <w:r>
        <w:t>L’objet du litige porte sur l’assainissement phonique du clocher imposé par la décision de l’autorité intimée du 19 mars 2012, de façon à ne pas induire des niveaux sonores maximum (Lfast) supérieurs à 60 dB(A) au niveau des fenêtres des locaux sensibles les plus exposés, la nuit entre 21h00 et 7h00.</w:t>
      </w:r>
    </w:p>
    <w:p>
      <w:r>
        <w:t>Les premiers juges ont considéré que ce prononcé était justifié. En bref, ils ont tenu le raisonnement suivant. Après avoir rappelé le droit applicable (consid. 2 à 6), ils ont constaté que les niveaux sonores induits par les sonneries de la demi- heure et de l’heure, au niveau de la fenêtre ouverte de la chambre à coucher des époux Voignard occasionnaient un dépassement « d’au moins 5 à 15 dB(A) de la valeur de 60 dB(A), admise comme étant sensiblement gênante ». Le bruit de fond nocturne, estimé dans le cas présent à 35 dB(A), était dépassé « d’au moins 30 à 40 dB(A) ». Un tel niveau de bruit était propre à provoquer des réactions de réveil. L’installation litigieuse n’était pas conforme aux prescriptions en matière de bruit et devait, par conséquent, être assainie conformément aux articles 16 et suivants</w:t>
      </w:r>
    </w:p>
    <w:p>
      <w:r>
        <w:t>- 7/12 - A/3122/2012 LPE (consid. 7). Examinant la question de la proportionnalité et du bénéfice d’un allègement au sens de l’art. 16 al. 2 LPE, ils ont retenu que l’intérêt public au maintien des cloches litigieuses devait être relativisé la nuit, dans la mesure où, dans plusieurs communes genevoises, cette sonnerie était interdite de 21h00 à 7h00 du matin (art. 8 al. 1 du règlement concernant la tranquillité publique du</w:t>
      </w:r>
    </w:p>
    <w:p>
      <w:r>
        <w:rPr>
          <w:b/>
        </w:rPr>
        <w:t>E. 8</w:t>
      </w:r>
    </w:p>
    <w:p>
      <w:r>
        <w:t>Au vu de ce qui précède, l’instruction menée par les juges précédents s’avère incomplète. Il convient partant d’annuler le jugement attaqué et de</w:t>
      </w:r>
    </w:p>
    <w:p>
      <w:r>
        <w:t>- 11/12 - A/3122/2012 renvoyer la cause à l’instance inférieure pour instruction complémentaire puis nouveau jugement au sens des considérants (art. 69 al. 3 LPA).</w:t>
      </w:r>
    </w:p>
    <w:p>
      <w:r>
        <w:rPr>
          <w:b/>
        </w:rPr>
        <w:t>E. 9</w:t>
      </w:r>
    </w:p>
    <w:p>
      <w:r>
        <w:t>Vu l’issue du litige, incertaine en l’état, comme des motifs conduisant à l’admission du présent recours, il ne sera pas perçu de frais de justice, les dépens étant par ailleurs compensés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