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ATA/562/2008 vom 4. November 2008</w:t>
      </w:r>
    </w:p>
    <w:p>
      <w:r>
        <w:t>GE Cour de justice, 2008-11-04, FR</w:t>
      </w:r>
    </w:p>
    <w:p>
      <w:r>
        <w:rPr>
          <w:b/>
        </w:rPr>
        <w:t xml:space="preserve">Quelle: </w:t>
      </w:r>
      <w:r>
        <w:t>https://mcp.opencaselaw.ch/entscheid/ge_gerichte_ATA_562_2008</w:t>
      </w:r>
    </w:p>
    <w:p>
      <w:r>
        <w:t>FR: GE_GERICHTE ATA/562/2008 du 4 novembre 2008</w:t>
      </w:r>
    </w:p>
    <w:p>
      <w:r>
        <w:t>IT: GE_GERICHTE ATA/562/2008 del 4 novembre 2008</w:t>
      </w:r>
    </w:p>
    <w:p>
      <w:pPr>
        <w:pStyle w:val="Heading2"/>
      </w:pPr>
      <w:r>
        <w:t>Erwägungen</w:t>
      </w:r>
    </w:p>
    <w:p>
      <w:r>
        <w:rPr>
          <w:b/>
        </w:rPr>
        <w:t>E. 1</w:t>
      </w:r>
    </w:p>
    <w:p>
      <w:r>
        <w:t>Interjeté en temps utile devant la juridiction compétente, le recours est recevable (art. 56A de la loi sur l’organisation judiciaire du 22 novembre 1941 - LOJ - E 2 05 ; art. 63 al. 1 let. a de la loi sur la procédure administrative du 12 septembre 1985 - LPA - E 5 10).</w:t>
      </w:r>
    </w:p>
    <w:p>
      <w:r>
        <w:rPr>
          <w:b/>
        </w:rPr>
        <w:t>E. 2</w:t>
      </w:r>
    </w:p>
    <w:p>
      <w:r>
        <w:t>La question à trancher en l'espèce est de savoir si les pertes de conversion comptabilisées en 2001, respectivement les gains de conversion ressortant des</w:t>
      </w:r>
    </w:p>
    <w:p>
      <w:r>
        <w:t>- 5/9 - A/4246/2007 états comptables de l'année 2002, doivent être pris en compte dans les comptes de résultats et dès lors diminuer ou augmenter le bénéfice, ou si tel n'est pas le cas.</w:t>
      </w:r>
    </w:p>
    <w:p>
      <w:r>
        <w:t>Dans les décisions rendues sur réclamation et dont elle demande la confirmation dans les conclusions de son recours, l'AFC-GE a considéré que les gains de conversion réalisés en 2001 augmentaient le bénéfice de la contribuable, alors que les pertes de conversion apparues en 2002 ne diminuaient pas le bénéfice de cette dernière.</w:t>
      </w:r>
    </w:p>
    <w:p>
      <w:r>
        <w:t>S______ soutient principalement qu'il y a lieu d'intégrer tant les écarts de conversion positifs que négatifs dans le résultat de l'entreprise et, subsidiairement, qu'il ne faut tenir compte ni des écarts de conversion positifs, ni des écarts de conversion négatifs afin de déterminer ce résultat.</w:t>
      </w:r>
    </w:p>
    <w:p>
      <w:r>
        <w:t>L'AFC-CH, dans les écritures qu'elle a produites devant la commission de recours - écritures dont le contenu a été repris par l'AFC-GE dans la motivation de son recours au Tribunal administratif, concluait que les écarts de conversion, positifs ou négatifs, ne devaient pas influencer le résultat de la contribuable, soit une position similaire à la conclusion subsidiaire de S______.</w:t>
      </w:r>
    </w:p>
    <w:p>
      <w:r>
        <w:t>Enfin, la commission de recours, dans la décision litigieuse, a considéré que les écarts de conversion, qui ne se distinguaient pas des pertes ou des gains de change, devaient être intégralement pris en compte dans le résultat de l'exercice, soit la conclusion principale de la contribuable.</w:t>
      </w:r>
    </w:p>
    <w:p>
      <w:r>
        <w:rPr>
          <w:b/>
        </w:rPr>
        <w:t>E. 3</w:t>
      </w:r>
    </w:p>
    <w:p>
      <w:r>
        <w:t>Selon l'article 58 alinéa 1 de la loi fédérale sur l’impôt fédéral direct du 14 décembre 1990 (LIFD - RS 642.11), le bénéfice net imposable comprend notamment le solde du compte de résultats, étant donné le solde reporté de l'exercice précédent (lettre a), tous les prélèvements opérés sur le résultat commercial avant le calcul du solde du compte de résultats, qui ne servent pas à couvrir des dépenses justifiées par l'usage commercial, tels que les frais d'acquisition, de production ou d'amélioration d'actifs immobilisés, les amortissements et les provisions qui ne sont pas justifiés par l'usage commercial (lettre b) ainsi que les produits qui n'ont pas été comptabilisés dans le compte de résultats, y compris les bénéfices en capital, les bénéfices de réévaluation et de liquidation, sous réserve de l'article 64 (lettre c).</w:t>
      </w:r>
    </w:p>
    <w:p>
      <w:r>
        <w:t>La jurisprudence a précisé que les comptes annuels d'une société anonyme doivent être dressés conformément aux principes généralement admis dans le commerce. Ils servent en principe de base à la taxation. Les autorités fiscales peuvent toutefois s'écarter de cette comptabilité si elle est ne respecte pas les dispositions impératives du droit commercial ou celles du droit fiscal (Arrêt du Tribunal fédéral 29.184/2003 du 21 juin 2003 et les références citées).</w:t>
      </w:r>
    </w:p>
    <w:p>
      <w:r>
        <w:t>- 6/9 - A/4246/2007</w:t>
      </w:r>
    </w:p>
    <w:p>
      <w:r>
        <w:rPr>
          <w:b/>
        </w:rPr>
        <w:t>E. 4</w:t>
      </w:r>
    </w:p>
    <w:p>
      <w:r>
        <w:t>a. Le bureau des standards comptables internationaux, organisme international chargé de l'élaboration de normes comptables visant à harmoniser la présentation et la clarté des états financiers des entreprises, a élaboré la norme dite « IFRS/IAS 21 » concernant l'effet des variations des cours de monnaies étrangères.</w:t>
      </w:r>
    </w:p>
    <w:p>
      <w:r>
        <w:t>Selon cette norme, les écarts de conversion doivent être comptabilisés en tant que composants distincts des capitaux propres. Ces écarts proviennent de la différence entre le cours de clôture, utilisé pour convertir les actifs et passifs de chaque bilan présenté, et le cours utilisé pour convertir les produits et les charges de chaque compte de résultats, qui doit être celui du moment de la transaction ou, par simplification, le cours moyen de l'année.</w:t>
      </w:r>
    </w:p>
    <w:p>
      <w:r>
        <w:t>Il est à relever que les écarts de change ou de conversion doivent être distingués des opérations de change ; les premiers sont des opérations comptables destinées à enregistrer des probabilités, alors que les seconds sont des actes juridiques d'échange d'une monnaie dans une autre qui donne lieu - non plus à des risques de perte ou a des chances de gain - mais à des pertes et à des gains effectifs (E. CAUSIN, Droit comptable des entreprises, Bruxelles, Larcier, 2002, p. 582, n° 823 ; pp. 778-783, n° 1179-1190).</w:t>
      </w:r>
    </w:p>
    <w:p>
      <w:r>
        <w:t>b. Le 18 avril 1972, l’AFC-CH à émis une « notice sur les conséquences fiscales du changement de parité des monnaies » (http://www.estv.admin.ch/ f/dbst/dokumentation/merkblatt/m73-002f.pdf, consulté le 20 octobre 2008), motivée par le fait que, au cours de l'année 1971, divers Etats avaient modifié la parité de leur monnaie ou laissé flotter les cours de change, alors que la Confédération helvétique avait réévalué le franc le 9 mai 1971. Pour juger de l'incidence fiscale des pertes ou des bénéfices qui s'étaient produits à la suite de ces mesures sur les actifs et passifs commerciaux, il fallait partir du principe que les pertes de change devaient être admises comme les autres pertes commerciales, si elles étaient comptabilisées, tandis que les bénéfices de change ne pouvaient être imposés que lorsqu'ils avaient été réalisés ou comptabilisés préalablement. Il était précisé que les entreprises qui tenaient leur comptabilité en monnaie étrangère devaient néanmoins remettre aux autorités fiscales suisses leurs comptes annuels en francs suisses. Lors de la conversion de postes du bilan résultant d'opérations en francs suisses, le changement de parité des monnaies ne devait pas influencer le rendement imposable.</w:t>
      </w:r>
    </w:p>
    <w:p>
      <w:r>
        <w:t>c. En matière d'évaluation d'actifs, un des principes les plus importants est celui de la prudence. Il implique que, dans le doute, les comptes seront présentés sous la forme la moins favorable à l'entreprise, compte tenu de la marge d'incertitude et des limites légales fixées au pouvoir d'appréciation. A ce principe se rattachent, en outre, deux corollaires, soit le principe de la réalisation, qui stipule qu'un bénéfice non encore réalisé ne peut être incorporé dans le bénéfice de l'exercice, et le principe de l'imparité, qui requiert d'enregistrer immédiatement</w:t>
      </w:r>
    </w:p>
    <w:p>
      <w:r>
        <w:t>- 7/9 - A/4246/2007 une perte non encore réalisée si celle-ci est prévisible (ATF 115 1b 55 et les références citées).</w:t>
      </w:r>
    </w:p>
    <w:p>
      <w:r>
        <w:t>d. En vertu des principes de l'égalité d'imposition et de l'imposition selon la capacité contributive, les contribuables qui sont dans la même situation économique doivent supporter une charge fiscale semblable ; lorsqu'ils sont dans des situations de faits différentes qui ont des effets sur leur capacité économique, leur charge fiscale doit en tenir compte et y être adaptée (ATF 122 I 305 consid. 6a p. 313/314). Ces principes s'appliquent en particulier aux impôts sur le revenu et la fortune ainsi que sur le bénéfice et le capital des personnes morales (X. OBERSON, Droit fiscal suisse 2ème éd. Bâle 2002, p. 29 ss).</w:t>
      </w:r>
    </w:p>
    <w:p>
      <w:r>
        <w:rPr>
          <w:b/>
        </w:rPr>
        <w:t>E. 5</w:t>
      </w:r>
    </w:p>
    <w:p>
      <w:r>
        <w:t>En l'espèce, le Tribunal administratif relèvera en premier lieu que le principe de la prudence et ses sous-principes ne s'appliquent qu'à la comptabilité tenue par la contribuable dans sa monnaie fonctionnelle, soit le dollar américain. L'opération de conversion en monnaie de présentation, rendue obligatoire par le fait que des sociétés de droit suisse doivent établir des états annuels, notamment à des buts fiscaux, en franc suisse, ne doit pas influencer le résultat de la société, comme le rappelle la norme IFRS/IAS 21. S'il est exact que cette norme est obligatoire dans l'Union européenne ainsi que pour les sociétés cotées au premier marché de la bourse suisse, depuis 2005, le fait que les législateurs fédéraux et cantonaux s'y réfèrent de plus en plus permet de parler d'une incorporation de cette norme, comme des autres normes IFRS/IAS, dans le droit suisse (P.-M. GLAUSER, IFRS et droit fiscal, Les normes « true fair » et le principe de la déterminance en droit fiscal suisse actuel, Archives de droit fiscal no 74, 2005- 2006, p. 529 ss.).</w:t>
      </w:r>
    </w:p>
    <w:p>
      <w:r>
        <w:t>De plus, et comme cela est rappelé ci-dessus, la notion d'écarts de conversion n'est pas équivalente à celle de gain ou de perte de change. L'écart de conversion n'apparaît que lorsqu'il est nécessaire de convertir les états financiers d'une monnaie fonctionnelle en monnaie de présentation et indique un risque qui n'est que potentiel. Les pertes ou gains de changes sont générés par une opération réelle qui se concrétise par le fait que l'entreprise concernée est, au terme de l'opération, plus riche ou moins riche qu'avant.</w:t>
      </w:r>
    </w:p>
    <w:p>
      <w:r>
        <w:t>En dernier lieu, le Tribunal administratif relèvera que la notice émise en 1972 par l'AFC-CH ne modifie pas les conclusions qui précèdent. Elle vise en effet le traitement des véritables pertes ou gains de change qui était apparu à la suite de la modification du cours de certaines monnaies au moment de la crise financière de 1972. Pour les entreprises tenant leur comptabilité en monnaie étrangère, les instructions qu'elle comporte ne concerne que la comptabilisation au bilan des postes résultant d'opérations en francs suisses, hypothèse non réalisée dans le présent litige.</w:t>
      </w:r>
    </w:p>
    <w:p>
      <w:r>
        <w:t>- 8/9 - A/4246/2007</w:t>
      </w:r>
    </w:p>
    <w:p>
      <w:r>
        <w:rPr>
          <w:b/>
        </w:rPr>
        <w:t>E. 6</w:t>
      </w:r>
    </w:p>
    <w:p>
      <w:r>
        <w:t>Au vu de ce qui précède, c'est à juste titre que l'AFC-CH a conclu, devant la commission de recours, à ce que les écarts de conversion positifs ou négatifs ne soient pas pris en compte dans le résultat annuel de l'exercice.</w:t>
      </w:r>
    </w:p>
    <w:p>
      <w:r>
        <w:t>En conséquence, le recours sera partiellement admis. La décision de la commission du 26 septembre 2007, ainsi que celles rendue sur réclamation pour l'année fiscale 2001, seront annulées. Le bordereau 2002, annexé à la décision sur réclamation, sera rétabli. Le dossier sera renvoyé à l’AFC-GE afin que cette dernière notifie un bordereaux d'impôts 2001 ne tenant pas comptes de l'écart de conversion.</w:t>
      </w:r>
    </w:p>
    <w:p>
      <w:r>
        <w:rPr>
          <w:b/>
        </w:rPr>
        <w:t>E. 7</w:t>
      </w:r>
    </w:p>
    <w:p>
      <w:r>
        <w:t>Un émolument de procédure de CHF 2'500.- sera mis à la charge de l'AFC- GE, qui a toujours conclu à la confirmation des deux bordereaux annexés à la décision sur réclamation. Aucune indemnité de procédure ne sera allouée à S______, qui avait conclu devant le Tribunal administratif à la confirmation de la décision rendue par la commission de recours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