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ATA/561/2018 vom 5. Juni 2018</w:t>
      </w:r>
    </w:p>
    <w:p>
      <w:r>
        <w:t>GE Cour de justice, 2018-06-05, FR</w:t>
      </w:r>
    </w:p>
    <w:p>
      <w:r>
        <w:rPr>
          <w:b/>
        </w:rPr>
        <w:t xml:space="preserve">Quelle: </w:t>
      </w:r>
      <w:r>
        <w:t>https://mcp.opencaselaw.ch/entscheid/ge_gerichte_ATA_561_2018</w:t>
      </w:r>
    </w:p>
    <w:p>
      <w:r>
        <w:t>FR: GE_GERICHTE ATA/561/2018 du 5 juin 2018</w:t>
      </w:r>
    </w:p>
    <w:p>
      <w:r>
        <w:t>IT: GE_GERICHTE ATA/561/2018 del 5 giugno 2018</w:t>
      </w:r>
    </w:p>
    <w:p>
      <w:pPr>
        <w:pStyle w:val="Heading2"/>
      </w:pPr>
      <w:r>
        <w:t>Erwägungen</w:t>
      </w:r>
    </w:p>
    <w:p>
      <w:r>
        <w:rPr>
          <w:b/>
        </w:rPr>
        <w:t>E. 12</w:t>
      </w:r>
    </w:p>
    <w:p>
      <w:r>
        <w:t>septembre 1985 - LPA - E 5 10). 2)</w:t>
      </w:r>
    </w:p>
    <w:p>
      <w:r>
        <w:t>Selon l'art. 61 al. 1 let. b LPA, applicable par le biais de l'art. 2 al. 2 de la loi de procédure fiscale du 4 octobre 2001 (LPFisc - D 3 17), le recours peut être formé pour constatation inexacte ou incomplète des faits pertinents. 3)</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w:t>
      </w:r>
    </w:p>
    <w:p>
      <w:r>
        <w:t>- 15/23 - A/4163/2015 suffit pas que les motifs de la décision attaquée soient insoutenables, encore faut-il que cette dernière soit arbitraire dans son résultat (ATF 141 I 49 consid. 3.4 ; 140 I 201 consid. 6.1 ; 138 I 305 consid. 4.4). 4)</w:t>
      </w:r>
    </w:p>
    <w:p>
      <w:r>
        <w:t>Le litige porte sur l’existence d’un cas de transposition, en particulier sur la réalisation d’une des conditions prévues par la loi, soit celle de détenir plus de 50 % du capital-actions de la société à laquelle les actions sont transférées.</w:t>
      </w:r>
    </w:p>
    <w:p>
      <w:r>
        <w:t>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ATA/1419/2017 du</w:t>
      </w:r>
    </w:p>
    <w:p>
      <w:r>
        <w:rPr>
          <w:b/>
        </w:rPr>
        <w:t>E. 17</w:t>
      </w:r>
    </w:p>
    <w:p>
      <w:r>
        <w:t>octobre 2017 consid 2b). 5) a. L’impôt sur le revenu a pour objet tous les revenus du contribuable, qu’ils soient uniques ou périodiques (art. 16 al. 1 de la loi fédérale sur l’impôt fédéral direct du 14 décembre 1990 - LIFD - RS 642.11 et art. 17 de la loi sur l'imposition des personnes physiques du 27 septembre 2009 - LIPP - D 3 08).</w:t>
      </w:r>
    </w:p>
    <w:p>
      <w:r>
        <w:t>b. Si la notion de revenu n'est pas définie précisément par la loi, la jurisprudence et la doctrine retiennent en principe comme déterminante la théorie de l'accroissement net du patrimoine (ATF 142 II 197 consid. 6 ; 125 II 113 consid. 4a ; arrêt du Tribunal fédéral 2C_766/2010 du 29 juillet 2011 consid. 2.1 ; ATA/332/2013 du 28 mai 2013), c’est-à-dire une conception extensive de la notion de revenu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(ATA/1419/2017 précité consid. 3b ; ATA/342/2015 du 14 avril 2015 consid. 6c).</w:t>
      </w:r>
    </w:p>
    <w:p>
      <w:r>
        <w:t>c. Est ainsi notamment imposable le rendement de la fortune mobilière, à savoir en particulier les dividendes, les parts de bénéfice, les excédents de liquidation et tous autres avantages appréciables en argent provenant de participations de tout genre ; ces avantages peuvent résulter d’actions, de parts de sociétés à responsabilité limitée, de parts de sociétés coopératives et de bons de participation (y compris les actions gratuites, les augmentations gratuites de la valeur nominale, etc. ; art. 20 al. 1 let. c LIFD et art. 22 al. 1 let. c LIPP). Lorsque ces droits de participation équivalent à 10 % au moins du capital-actions ou du capital social d’une société de capitaux ou d’une société coopérative, ils sont imposables à hauteur de 60 % (art. 20 al. 1bis LIFD et art. 22 al. 2 LIPP).</w:t>
      </w:r>
    </w:p>
    <w:p>
      <w:r>
        <w:t>d. Sont également considérés comme rendement de la fortune mobilière le produit du transfert d’une participation d’au moins 5 % au capital-actions ou au capital social d’une société de capitaux ou d’une société coopérative représentant un transfert de la fortune privée à la fortune commerciale d’une entreprise de</w:t>
      </w:r>
    </w:p>
    <w:p>
      <w:r>
        <w:t>- 16/23 - A/4163/2015 personnes ou d’une personne morale dans laquelle le vendeur ou la personne qui effectue l’apport détient une participation d’au moins 50 % au capital après le transfert, dans la mesure où le total de la contre-prestation reçue est supérieur à la valeur nominale de la participation transférée ; il en va de même lorsque plusieurs participants effectuent le transfert en commun (art. 23 al. 1 let. b LIPP ; art. 20a al. 1 let b LIFD).</w:t>
      </w:r>
    </w:p>
    <w:p>
      <w:r>
        <w:t>e. La transposition est soumise à quatre conditions cumulatives : 1) le vendeur détient des titres de participation dans sa fortune privée (principe de la valeur nominale) qu’il cède à la société acquéreuse soumise au régime de la valeur comptable ; 2) le vendeur doit contrôler la société acquéreuse de manière à pouvoir influer sur la politique de distribution de dividendes ; 3) les actions doivent être cédées à une valeur supérieure à leur valeur nominale ; 4) le vendeur reçoit, en contrepartie de son apport, du capital social nominal ou un prêt à l'encontre de la société acquéreuse. Ainsi, les biens sur lesquels existe une imposition latente (réserves ouvertes ou latentes de la société dont les titres ont été apportés) sont transposés en valeurs exonérées (remboursement du capital ou de la dette de la nouvelle société en franchise d'impôt ; ATA/724/2012 du 30 octobre 2012 ; Xavier OBERSON, Droit fiscal suisse, 4ème éd., 2012, p. 147 s., n° 174 ss ; Yves NOËL, in Y. NOËL/Florence AUBRY-GIRARDIN (éd.), Impôt fédéral direct, Commentaire de la loi sur l’impôt fédéral direct, 2017, ad art. 20 n° 100). 6)</w:t>
      </w:r>
    </w:p>
    <w:p>
      <w:r>
        <w:t>En matière fiscale, quand des indices clairs et précis rendent vraisemblable l'état de fait établi par l'autorité, il revient ensuite au contribuable de réfuter, preuves à l'appui, les faits avancés par celle-ci (arrêts du Tribunal fédéral 2C_111/2012 du 25 juillet 2012 consid. 4.4 et 2C_484/2009 du 30 septembre 2010 consid. 3.3 ; ATA/330/2018 du 10 avril 2018 ; ATA/1155/2017 du 2 août 2017). 7)</w:t>
      </w:r>
    </w:p>
    <w:p>
      <w:r>
        <w:t>En l’espèce, C______ a été créée le 16 mars 2011. Le recourant a cédé la moitié de ses actions à Mme D______ le 22 mars 2011. Il a vendu à trois co-contractants 8’100 actions le 11 juillet 2011. Dans la même semaine, soit le 15 juillet 2011, il a cédé 45’000 actions de la société B______ dont il était titulaire à la société C______, au prix unitaire de CHF 45.15 par action pour un total de CHF 2'031'750.-.</w:t>
      </w:r>
    </w:p>
    <w:p>
      <w:r>
        <w:t>Cette chronologie des événements, et en particulier le fait de se dessaisir de 50% des actions de la société C______ au bénéfice de son ex-compagne, moins de quatre mois avant de vendre à cette même société 45’000 actions de B______, lui a permis de soustraire de sa fortune mobilière le produit de ce transfert et d’opérer ainsi une substantielle économie d’impôt, puisqu’il n’était alors plus en possession de plus de 50 % du capital-actions de la société à laquelle les actions étaient transférées.</w:t>
      </w:r>
    </w:p>
    <w:p>
      <w:r>
        <w:t>- 17/23 - A/4163/2015</w:t>
      </w:r>
    </w:p>
    <w:p>
      <w:r>
        <w:t>Par conséquent, et indépendamment d’un comportement fautif, dont l’existence sera examinée plus en détail ci-après, c’est à juste titre que l’AFC-GE a retenu l’existence d’un cas de transposition. 8) a. Les décisions de taxation entrées en force mais inexactes peuvent faire l’objet, à certaines conditions, d’un rappel d’impôt. Lesdites conditions sont réglementées de manière similaire au plan fédéral ou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1ère phr. LHID ; art. 59 al. 1 LPFisc).</w:t>
      </w:r>
    </w:p>
    <w:p>
      <w:r>
        <w:t>En revanche,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De même, vu la maxime d’office, si elle renonce à procéder aux investigations nécessaires en raison d’un état de fait déclaré de manière incomplète, le lien de causalité adéquate entre la déclaration lacunaire et la taxation insuffisante peut être interrompu (Hugo CASANOVA/Claude-Emmanuel DUBEY in Commentaire romand de la loi sur l’impôt fédéral direct, 2017, ad art. 151, p. 1813, n. 11).</w:t>
      </w:r>
    </w:p>
    <w:p>
      <w:r>
        <w:t>b. Le rappel d’impôt n’est soumis qu’à des conditions objectives et implique qu’une taxation n’a, à tort, pas été établie ou est restée incomplète, de sorte que la collectivité publique a subi une perte fiscale.</w:t>
      </w:r>
    </w:p>
    <w:p>
      <w:r>
        <w:t>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w:t>
      </w:r>
    </w:p>
    <w:p>
      <w:r>
        <w:t>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w:t>
      </w:r>
    </w:p>
    <w:p>
      <w:r>
        <w:t>- 18/23 - A/4163/2015 conditions pour procéder ultérieurement à un rappel d’impôt font défaut (arrêt du Tribunal fédéral 2C_104/2008 du 20 juin 2009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2P.15/2004 du</w:t>
      </w:r>
    </w:p>
    <w:p>
      <w:r>
        <w:rPr>
          <w:b/>
        </w:rPr>
        <w:t>E. 22</w:t>
      </w:r>
    </w:p>
    <w:p>
      <w:r>
        <w:t>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ATA/379/2018 du</w:t>
      </w:r>
    </w:p>
    <w:p>
      <w:r>
        <w:rPr>
          <w:b/>
        </w:rPr>
        <w:t>E. 24</w:t>
      </w:r>
    </w:p>
    <w:p>
      <w:r>
        <w:t>avril 2018 ; Hugo CASANOVA, op. cit., p. 12). À cet égard, le grand nombre de décisions à prendre rend illusoire une vérification de toutes les indications du contribuable (Hugo CASANOVA, op. cit., p. 11).</w:t>
      </w:r>
    </w:p>
    <w:p>
      <w:r>
        <w:t>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(administration fédérale des contributions, Circulaire no 21, Le droit de rappel d’impôt et le droit pénal fiscal dans la LIFD,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9)</w:t>
      </w:r>
    </w:p>
    <w:p>
      <w:r>
        <w:t>En l’espèce, les décisions de taxation étaient entrées en force au moment de l’instruction par l’AFC-GE d’un éventuel cas de transposition. Les taxations pour l’année 2012 étaient incomplètes dans la mesure où elles ne tenaient pas compte de tous les éléments de fortune du recourant, entraînant ainsi une perte fiscale pour la collectivité. Le lien de causalité adéquate entre la déclaration lacunaire et</w:t>
      </w:r>
    </w:p>
    <w:p>
      <w:r>
        <w:t>- 19/23 - A/4163/2015 la taxation insuffisante n’a pas été interrompu, dès lors que les inexactitudes de la déclaration fiscale remise par le recourant n’étaient pas flagrantes. L’autorité fiscale ne pouvait pas se rendre compte de l’état de fait incomplet sans se livrer à des investigations complémentaires. De son côté, le recourant, soit pour lui sa fiduciaire, aurait dû remettre à l’AFC-GE, en même temps que sa déclaration d’impôt, les éléments qui auraient permis à cette dernière de constater l’existence d’un cas de transposition.</w:t>
      </w:r>
    </w:p>
    <w:p>
      <w:r>
        <w:t>Pour ces motifs, l’AFC-GE était en droit de procéder à un rappel d’impôt. 10)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w:t>
      </w:r>
    </w:p>
    <w:p>
      <w:r>
        <w:t>b. Les art. 56 al. 1 LHID, applicables dès le 1er janvier 2001 (ATA/330/2018 du 10 avril 2018) et 69 al. 1 LPFisc relatifs à la soustraction d'impôt, ont la même teneur que l'art. 175 LIFD. La chambre de céans peut ainsi ne rendre qu'un seul arrêt valant pour les deux amendes prononcées,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w:t>
      </w:r>
    </w:p>
    <w:p>
      <w:r>
        <w:t>c.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(ATA/330/2018 du 10 avril 2018). 11) a. La soustraction est punissable aussi bien intentionnellement que par négligence (ATA/330/2018 du 10 avril 2018 ; ATA/1019/2015 du</w:t>
      </w:r>
    </w:p>
    <w:p>
      <w:r>
        <w:rPr>
          <w:b/>
        </w:rPr>
        <w:t>E. 29</w:t>
      </w:r>
    </w:p>
    <w:p>
      <w:r>
        <w:t>septembre 2015).</w:t>
      </w:r>
    </w:p>
    <w:p>
      <w:r>
        <w:t>b. Il y a comportement intentionnel lorsqu’il est établi avec une sécurité suffisante que le contribuable était conscient que les informations données étaient incomplètes ou incorrectes ; si cette conscience est avérée, on peut alors présumer l’intention ou du moins le dol éventuel (Xavier OBERSON, Droit fiscal suisse, 4ème éd., 2012, n 26 p. 587). Une telle présomption est difficile à renverser à teneur de la jurisprudence constante (ATF 114 Ib 27 consid. 3a ; arrêt du Tribunal fédéral 2C_480/2009 du 16 mars 2010 consid. 5.5 ; RDAF 2003 II 632 ss, notamment 637, et la jurisprudence citée).</w:t>
      </w:r>
    </w:p>
    <w:p>
      <w:r>
        <w:t>- 20/23 - A/4163/2015</w:t>
      </w:r>
    </w:p>
    <w:p>
      <w:r>
        <w:t>c. Il y a négligence lorsque, par une imprévoyance coupable, un contribuable ne se rend pas compte ou ne tient pas compte des conséquences de son acte. Tel est le cas lorsque le contribuable n'a pas usé des précautions commandées par les circonstances et par sa situation personnelle (art. 12 al. 3 du Code pénal suisse du 21 décembre 1937 - CP - RS 311.0 ; RDAF 2003 II 622, 631 ; Xavier OBERSON, op. cit., p. 587 n. 18). 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ATA/330/2018 du 10 avril 2018 ; ATA/907/2016 du 25 octobre 2016 et les références citées). La négligence implique de porter un jugement sur le comportement de l’auteur, en se demandant ce qu’il aurait pu et dû faire, et non de rechercher ce qu’il avait à l’esprit (ATA/330/2018 du 10 avril 2018 ; ATA/686/2017 du 20 juin 2017 consid. 36b). 12) En l’espèce, l’AFC-GE a fondé et motivé les décisions attaquées en retenant le caractère de négligence et en tenant compte de la bonne collaboration du recourant. Dans le cadre de la procédure de recours devant le TAPI, l’autorité fiscale a conclu à ce que cette instance procède à une reformatio in pejus dès lors qu’il devait être retenu que le recourant avait agi intentionnellement. Elle a été suivie par le TAPI.</w:t>
      </w:r>
    </w:p>
    <w:p>
      <w:r>
        <w:t>La chambre de céans ne partage toutefois pas cette analyse, dès lors qu’il n’existe aucun élément probant permettant d’établir que les contrats conclus avec son ex-compagne avaient pour seul but une économie fiscale. Au contraire, le recourant n’a jamais varié dans ses déclarations, que ce soit lorsqu’il a été interrogé par l’autorité fiscale, ou en cours de procédure. Il a toujours soutenu que sa première intention était celle de trouver une solution pour régler sa succession et mettre sa famille à l’abri de futures difficultés financières. De nombreuses pièces versées au dossier permettent de constater que les contrats ont été exécutés. L’ex-compagne du recourant s’est acquittée du prix d’achat des actions, par le biais de ses économies, mais également d’un prêt bancaire et du bénéfice de sa prévoyance professionnelle. Au vu de son revenu, elle a ainsi dû concéder des sacrifices financiers considérables, de sorte qu’il n’est pas vraisemblable qu’elle les ait acceptés uniquement pour que le recourant puisse bénéficier seul d’une économie d’impôt.</w:t>
      </w:r>
    </w:p>
    <w:p>
      <w:r>
        <w:t>De plus, s’il est vrai que la solution choisie par le recourant exigeait de son ex-compagne un important sacrifice financier, elle lui assurait un investissement</w:t>
      </w:r>
    </w:p>
    <w:p>
      <w:r>
        <w:t>- 21/23 - A/4163/2015 rentable et peu risqué, si bien qu’il n’apparaît pas étonnant qu’elle ait accepté, notamment, de contracter un emprunt bancaire de EUR 20'000.- et d’investir son épargne salariale pour un montant de EUR 10'048.-, ces sommes étant peu élevées en comparaison du revenu qu’elle pouvait espérer. Cet investissement lui permettait également de participer au fruit du travail de son ex-compagnon.</w:t>
      </w:r>
    </w:p>
    <w:p>
      <w:r>
        <w:t>Le TAPI ne saurait être suivi lorsqu’il affirme que les sociétés ne pourraient plus continuer à réaliser des bénéfices, si le recourant venait subitement à disparaître, ce dernier se présentant comme un acteur indispensable au sein de celles-ci et que les actions C______ devraient logiquement perdre de leur valeur. Il apparaît en effet improbable que le recourant, de même que ses actionnaires, n’aient pas pris les mesures pour assurer la continuité des affaires et ainsi éviter de prendre un tel risque financier. Le recourant a d’ailleurs expliqué en cours de procédure que la continuité opérationnelle était organisée et permettait à la direction stratégique du groupe de prendre les mesures adéquates pour la suite, sauvegardant de la sorte la valeur intrinsèque du groupe B______. Par conséquent, et faute de preuve contraire, aucun élément ne permet d’invalider les explications données par le recourant sur ce point.</w:t>
      </w:r>
    </w:p>
    <w:p>
      <w:r>
        <w:t>Le courrier envoyé par la fiduciaire à l’AFC-CH le 2 novembre 2012 par voie électronique ne démontre nullement l’existence d’une volonté de dissimuler au fisc des éléments pertinents. Les explications données dans ce courriel ne sont en effet pas en faveur du recourant. L’autorité fiscale ne donne pourtant aucune explication permettant de comprendre les motifs qui pourraient motiver une fiduciaire à agir à l’encontre de son client, en déclarant qu’il était propriétaire de plus de 50 % des actions au moment du transfert. Entendu devant le TAPI, M. I______, employé de la fiduciaire, a déclaré qu’il avait eu connaissance des contrats de vente et de fiducie une année après le courriel du 2 novembre 2012, soit au moment de remplir la déclaration fiscale du recourant. Ces explications corroborent celles données par Mme K______, soit qu’elle avait dû quitter son emploi de manière précipitée au début de son congé maternité et qu’il était ainsi vraisemblable que l’acte de cession des actions ne figurait pas au dossier remis à M. I______. Par conséquent, le courriel du 2 novembre 2012 ne saurait démontrer que le recourant était propriétaire de plus de la moitié des actions.</w:t>
      </w:r>
    </w:p>
    <w:p>
      <w:r>
        <w:t>Le recourant a apporté la preuve, en cours de procédure, que la réelle intention des parties était celle d’exécuter les contrats, et a démontré que tel avait été le cas. Pour ces motifs, il ne peut être retenu que le recourant a adopté intentionnellement un comportement lui permettant de contourner ses obligations fiscales.</w:t>
      </w:r>
    </w:p>
    <w:p>
      <w:r>
        <w:t>Bien que le recourant ne se retranche nullement derrière la responsabilité de sa fiduciaire, il sera rappelé qu’en matière fiscale, les actes du représentant sont opposables au représenté comme les siens propres, principe qui vaut également en droit public (arrêt du Tribunal fédéral 2C_280/2013 du 6 avril 2013). La</w:t>
      </w:r>
    </w:p>
    <w:p>
      <w:r>
        <w:t>- 22/23 - A/4163/2015 responsabilité du mandant ne saurait être dissociée de celle de son mandataire. Le premier est responsable des actes de celui qui le représente et répond de toute faute de ses auxiliaires (ATA/1641/2017 du 19 décembre 2017 et les références citées) ; en particulier, le contribuable qui mandate une fiduciaire pour remplir sa déclaration d’impôt n’est pas pour autant libéré de sa responsabilité et de ses obligations fiscales (ATA/1155/2017 du 2 août 2017 consid. 22b).</w:t>
      </w:r>
    </w:p>
    <w:p>
      <w:r>
        <w:t>La fiduciaire du recourant ne pouvait ignorer que la vente des actions telle qu’elle a été opérée permettrait au recourant de profiter d’une économie d’impôt considérable. Elle aurait dû communiquer à l’autorité fiscale les contrats de vente et de fiducie, en même temps que la déclaration d’impôt et donner les explications idoines afférentes à ce transfert d’actions. Or, la fiduciaire n’a pas tenu compte des conséquences que pouvaient entrainer ce manque de transparence à l’égard de l’AFC-GE.</w:t>
      </w:r>
    </w:p>
    <w:p>
      <w:r>
        <w:t>Pour ces motifs, il sera retenu que le recourant a agi par négligence, si bien que l’amende prononcée dans les décisions attaquées sera confirmée, et le jugement du TAPI sera annulé en tant qu’il a renvoyé le dossier à l’intimée pour notifier de nouveaux bordereaux d’amendes ICC et IFD au sens des considérants de son jugement.</w:t>
      </w:r>
    </w:p>
    <w:p>
      <w:r>
        <w:t>Au vu de ce qui précède, le recours sera partiellement admis. 13) Un émolument de CHF 1'500.- sera mis à la charge du recourant qui n’obtient que partiellement gain de cause. Une indemnité de procédure de CHF 1'000.-, à la charge de l’État de Genève, sera allouée au recourant, qui y a conclu et a eu recours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