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ATA/561/2015 vom 2. Juni 2015</w:t>
      </w:r>
    </w:p>
    <w:p>
      <w:r>
        <w:t>GE Cour de justice, 2015-06-02, FR</w:t>
      </w:r>
    </w:p>
    <w:p>
      <w:r>
        <w:rPr>
          <w:b/>
        </w:rPr>
        <w:t xml:space="preserve">Quelle: </w:t>
      </w:r>
      <w:r>
        <w:t>https://mcp.opencaselaw.ch/entscheid/ge_gerichte_ATA_561_2015</w:t>
      </w:r>
    </w:p>
    <w:p>
      <w:r>
        <w:t>FR: GE_GERICHTE ATA/561/2015 du 2 juin 2015</w:t>
      </w:r>
    </w:p>
    <w:p>
      <w:r>
        <w:t>IT: GE_GERICHTE ATA/561/2015 del 2 giugno 2015</w:t>
      </w:r>
    </w:p>
    <w:p>
      <w:pPr>
        <w:pStyle w:val="Heading2"/>
      </w:pPr>
      <w:r>
        <w:t>Regeste</w:t>
      </w:r>
    </w:p>
    <w:p>
      <w:r>
        <w:t>Résumé: Annulation d'une décision de révocation d'une autorisation d'établissement (permis C). Ressortissant kosovar, marié à une ressortissante suisse depuis plus de vingt ans, père de deux enfants suisses de 19 et 21 ans. En l'espèce, la révocation par l'OCPM de l'autorisation d'établissement du recourant apparaît disproportionnée, tant au regard de la LEtr que de l'art. 8 CEDH. La situation professionnelle stable du recourant, la bonne évolution de son comportement, l'écoulement du temps depuis la commission des infractions, et surtout les forts liens qui l'unissent à son épouse et à ses deux enfants, dont on ne saurait exiger qu'ils l'accompagnent au Kosovo en cas de renvoi, ont pour conséquence que l'intérêt privé du recourant à pouvoir continuer à vivre avec les siens en Suisse l'emporte sur l'intérêt public à son éloignement du territoire helvétique. Un avertissement formel est adressé au recourant. Recours admis.</w:t>
      </w:r>
    </w:p>
    <w:p>
      <w:pPr>
        <w:pStyle w:val="Heading2"/>
      </w:pPr>
      <w:r>
        <w:t>Erwägungen</w:t>
      </w:r>
    </w:p>
    <w:p>
      <w:r>
        <w:rPr>
          <w:b/>
        </w:rPr>
        <w:t>E. 12</w:t>
      </w:r>
    </w:p>
    <w:p>
      <w:r>
        <w:t>septembre 1985 - LPA - E 5 10). 2)</w:t>
      </w:r>
    </w:p>
    <w:p>
      <w:r>
        <w:t>Le recourant invoque la violation par le TAPI de son obligation de motivation en vertu de l'art. 29 al. 2 Cst. 3)</w:t>
      </w:r>
    </w:p>
    <w:p>
      <w:r>
        <w:t>Tel qu’il est garanti par l’art. 29 al. 2 Cst., le droit d’être entendu comprend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3ème éd., 2009, p. 257 ; Pierre</w:t>
      </w:r>
    </w:p>
    <w:p>
      <w:r>
        <w:t>- 16/25 - A/2984/2013 MOOR/ Étienne POLTIER, Droit administratif, vol. 2, 3ème éd., 2011, p. 348 ss, n. 2.2.8.3). 4)</w:t>
      </w:r>
    </w:p>
    <w:p>
      <w:r>
        <w:t>En l'espèce, la motivation rendue par le TAPI, bien que concise, doit être considérée comme conforme aux exigences du droit d'être entendu. En particulier, s'agissant du grief de la proportionnalité, le jugement attaqué procède à une pesée de tous les intérêts publics et privés pertinents. La gravité de la faute du recourant, son degré d'intégration, la durée de son séjour en Suisse et le préjudice que lui-même et sa famille auraient à subir du fait de son renvoi sont examinés. Le grief doit donc être écarté. 5)</w:t>
      </w:r>
    </w:p>
    <w:p>
      <w:r>
        <w:t>Le recourant invoque une violation du principe de la proportionnalité tant sous l'angle de la LEtr que celui de la CEDH. En particulier, il conteste constituer une menace pour la sécurité et l’ordre publics en Suisse. 6)</w:t>
      </w:r>
    </w:p>
    <w:p>
      <w:r>
        <w:t>Aux termes de l’art. 63 LEtr, l’autorisation d’établissement ne peut être révoquée que si, notamment, l'étranger a été condamné à une peine privative de liberté de longue durée ou a fait l’objet d’une mesure pénale prévue aux art. 64 ou 61 CP (art. 62 let. b LEtr) ou s’il attente de manière très grave à la sécurité et l’ordre publics en Suisse ou à l’étranger, les met en danger ou représente une menace pour la sécurité intérieure ou extérieure de la Suisse (art. 63 al. 1 let. b LEtr). La réalisation de l’un de ces deux motifs suffit au prononcé de la révocation (arrêts du Tribunal fédéral 2C_204/2012 du 25 septembre 2012 consid. 2.2 ; 2C_750/2011 du 10 mai 2012 consid. 3.1).</w:t>
      </w:r>
    </w:p>
    <w:p>
      <w:r>
        <w:t>Les motifs de révocation de l'art. 63 LEtr correspondent en principe aux motifs d'expulsion tels qu'ils étaient prévus à l'art. 10 aLSEE (arrêts du Tribunal fédéral 2C_968/2011 du 20 février 2012 consid. 3.1 ; 2C_758/2010 du 22 décembre 2010 consid. 6.1 et la jurisprudence citée). 7)</w:t>
      </w:r>
    </w:p>
    <w:p>
      <w:r>
        <w:t>Selon la jurisprudence du Tribunal fédéral, une peine privative de liberté de plus d'une année est une peine de longue durée et constitue un motif de révocation de l'autorisation au sens de l'art. 62 let. b LEtr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 arrêt du Tribunal fédéral 2C_41/2014 du 16 juin 2014 consid. 2). 8)</w:t>
      </w:r>
    </w:p>
    <w:p>
      <w:r>
        <w:t>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w:t>
      </w:r>
    </w:p>
    <w:p>
      <w:r>
        <w:t>- 17/25 - A/2984/2013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 9)</w:t>
      </w:r>
    </w:p>
    <w:p>
      <w:r>
        <w:t>Comme sous l'empire de la aLSEE, le refus – ou la révocation – de l'autorisation ne se justifie que si la pesée des intérêts à effectuer dans le cas d'espèce fait apparaître la mesure comme proportionnée au sens de l'art. 96 LEtr (ATF 135 II 377 consid. 4.3 ; ATF 135 I 153 consid. 2.1 et 2.2 ; arrêt du Tribunal fédéral 2C_817/2011 du 13 mars 2012 consid. 3.1.2). Dans la mise en œuvre de ce principe, il y a lieu de prendre en compte la nature et la gravité de l'infraction, le temps écoulé et le comportement de l'étranger depuis sa commission, la durée de son séjour dans le pays d'accueil et l'intensité des liens sociaux, culturels et familiaux qu'il entretient dans ce pays en comparaison de ceux qu'il a maintenu dans son pays d'origine, sa situation familiale, la durée de son mariage, la nationalité de l'ensemble des membres de sa famille, de même que d'autres circonstances qui permettent d'éclairer la nature effective de sa relation avec son conjoint. Le fait de savoir si le conjoint avait connaissance des agissements délictueux de l'étranger au moment d'entreprendre une relation avec lui, de même que les problèmes auxquels ce conjoint est susceptible d'être confronté en cas de retour commun dans le pays d'origine sont également déterminants. Il convient en outre de considérer si des enfants sont issus de la relation entre les conjoints ainsi que, le cas échéant, leur âge. Un poids particulier est donné à l'intérêt des enfants et à leur bien-être. Les difficultés que ces derniers sont susceptibles d'encourir en cas de retour dans le pays d'origine doivent être prises en compte (ATF 139 I 145 consid. 2.4 ; 139 I 16 consid. 2.2.1 ; 139 I 31 consid. 2.3.1 ; 135 II 377 consid. 4.3 ; arrêts du Tribunal fédéral 2C_260/2015 du 2 avril 2015 consid. 5.2 ; 2D_19/2014 du 2 octobre 2014 consid. 3.3 ; 2C_565/2013 du 6 décembre 2013 consid. 4.1 ; 2C_260/2013 du 8 juillet 2013 consid. 5.1 ; 2C_317/2012 du</w:t>
      </w:r>
    </w:p>
    <w:p>
      <w:r>
        <w:rPr>
          <w:b/>
        </w:rPr>
        <w:t>E. 17</w:t>
      </w:r>
    </w:p>
    <w:p>
      <w:r>
        <w:t>octobre 2012 consid. 3.7.1 ; 2C_117/2012 du 11 juin 2012 consid. 4.5.1 ; 2C_360/2011 du 18 novembre 2011 consid. 3 ; 2C_651/2009 du 1er mars 2010, consid. 4.2). 10) 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w:t>
      </w:r>
    </w:p>
    <w:p>
      <w:r>
        <w:t>- 18/25 - A/2984/2013 consid. 3.4.1, 4.2 et 4.3.1 et les références citées), étant précisé que l'évaluation du risque de récidive sera d'autant plus rigoureuse que le bien juridique menacé est important (ATF 136 II 5 consid. 4.2 ; 130 II 493 consid. 3.3).</w:t>
      </w:r>
    </w:p>
    <w:p>
      <w:r>
        <w:t>Dans un arrêt rendu en décembre 2014, le Tribunal fédéral a admis le recours d'un étranger qui s'était vu refuser le renouvellement de son autorisation de séjour en raison de multiples condamnations pénales. L'étranger en cause n'avait plus commis d'infractions depuis octobre 2009 ; bien que détestable, son comportement délictueux n'avait pas révélé d'actes de violence criminelle ou d'infractions contre l'intégrité sexuelle et, en matière de stupéfiants, il n'avait été condamné que pour des infractions liées à sa propre consommation et non pas en qualité de trafiquant mû par l'appât du gain (arrêt du Tribunal fédéral 2C_559/2014 du 11 décembre 2014 consid. 2.4). 11) L’autorisation d’établissement d’un étranger qui réside de longue date en Suisse ne peut être révoquée qu’avec retenue (ATF 139 I 31 consid. 2.3.1 ; arrêt du Tribunal fédéral 2C_436/2014 du 29 octobre 2014 consid. 4.1). Ainsi, les mesures d’éloignement sont soumises à des conditions d’autant plus strictes que l’intéressé a séjourné en Suisse durant une longue période (ATF 135 II 377 consid. 4.4 et 4.5 ; arrêts du Tribunal fédéral 2C_789/2014 du 20 février 2015 consid. 5.3 ; 2C_881/2012 du 16 janvier 2013 consid. 5.1). Le renvoi d’étrangers vivant depuis longtemps en Suisse, voire ceux qui y sont nés et y ont passé toute leur existence, n’est toutefois pas exclue par la CEDH (ATF 130 II 176 consid. 4.4 ; arrêts du Tribunal fédéral 2C_260/2013 précité consid. 4.1 ; 2C_238/2012 du 30 juillet 2012 consid. 2.3). À cet égard, les années passées en Suisse dans l’illégalité, en prison ou au bénéfice d’une simple tolérance ne sont pas déterminantes dans la pesée des intérêts (ATF 134 II 10 consid. 4.3 ; arrêt du Tribunal fédéral 2C_317/2012 du 17 octobre 2012 consid. 3.7.1). 12)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w:t>
      </w:r>
    </w:p>
    <w:p>
      <w:r>
        <w:t>- 19/25 - A/2984/2013 13) Les relations visées par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Pour pouvoir bénéficier de la protection conférée par l’art. 8 CEDH, les autres relations entre proches parents, comme celles entre frères et sœurs,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w:t>
      </w:r>
    </w:p>
    <w:p>
      <w:r>
        <w:t>Selon la jurisprudence de la Cour européenne des droits de l’homme (ci-après : CourEDH) en outre, la relation entre les parents et les enfants majeurs qui vivent encore au domicile peut être couverte par l'art. 8 CEDH, notamment lorsqu'ils n'ont pas encore 25 ans et n'ont pas eux-mêmes de conjoint ou d'enfants (ACEDH Bousarra c. France, du 23 septembre 2010, req. n° 25672/07, § 38-39 ; A.A. c. Royaume-Uni, du 20 septembre 2011, req. n° 8000/08, § 48-49). 14) L'application de l'art. 8 § 2 CEDH implique aussi la pesée des intérêts en présence et l'examen de la proportionnalité de la mesure (ATF 135 I 153, consid. 2.1 et 2.2 ; arrêt du Tribunal fédéral 2C_968/2011 précité consid. 3.3).</w:t>
      </w:r>
    </w:p>
    <w:p>
      <w:r>
        <w:t>La CourEDH retient à cet égard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Hasanbasic c. Suisse, du 11 juin 2013, req. n° 52'166/2009, § 53 ; ACEDH Vasquez c. Suisse, du 26 novembre 2013, req. n° 1'785/08, § 38, et Üner</w:t>
      </w:r>
    </w:p>
    <w:p>
      <w:r>
        <w:t>- 20/25 - A/2984/2013 c. Pays-Bas [Grande Chambre], du 18 octobre 2006, req. n° 46'410/99, § 57 ; arrêt du Tribunal fédéral 2C_98/2009 du 10 juin 2009 consid. 2.4). 15) 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 16) En l’espèce, le recourant a été condamné le 15 mai 2012 à une peine privative de liberté de trois ans pour recel par métier (art. 160 ch. 1 et 2 CP), infraction à la LEtr (art. 117 al. 1 LEtr) et infraction à la LArm (art. 33 al. 1 let. a LArm). La révocation de son autorisation d'établissement remplit donc les conditions de l'art. 62 let. b LEtr. 17) Il reste à examiner si cette mesure respecte le principe de proportionnalité, en d’autres termes si l’intérêt privé du recourant à rester en Suisse l’emporte sur l’intérêt public à son éloignement. 18) Entre 1983 et 2000, année d'obtention de son autorisation de séjour, le recourant a fait l'objet de dix condamnations pour des infractions à la LEtr, trois condamnations pour faux dans les certificats et deux condamnations pour vol. Ces condamnations ont donné lieu à diverses peines privatives de liberté pour un total de deux ans. Il a ensuite fait l'objet en 2006 d'une condamnation à une peine privative de liberté de quinze jours pour infraction à la LArm et de deux condamnations à des jours-amende en 2010 pour des infractions à la LCR.</w:t>
      </w:r>
    </w:p>
    <w:p>
      <w:r>
        <w:t>Sur cette base, les premiers juges ont retenu la gradation en gravité des infractions commises par le recourant. Ils ont estimé que son risque de récidive était actuel et réel, dès lors qu'il n'avait pas démontré une volonté ou une capacité à s'intégrer dans la société suisse et à y respecter son ordre juridique.</w:t>
      </w:r>
    </w:p>
    <w:p>
      <w:r>
        <w:t>À cela s'ajoute que la dernière condamnation du recourant du 15 mai 2012 lui a infligé une peine lourde sanctionnant une activité criminelle qui s'est déployée sur plusieurs années. Il ressort en effet des rapports de police que le recourant a servi de plaque tournante à un réseau de criminels des Balkans de grande envergure depuis 1995 et qu'il a aidé à écouler de la marchandise volée et à blanchir le produit de ces vols à raison de plusieurs centaines de milliers de francs. Le café-bar H__________, que gérait son épouse et dont il était employé, servait de plaque tournante à ce trafic et a été temporairement fermé sur ordre de l'autorité suite à cette procédure.</w:t>
      </w:r>
    </w:p>
    <w:p>
      <w:r>
        <w:t>- 21/25 - A/2984/2013 19) Toutefois, les actes délictueux du recourant, si répréhensibles soient-ils, n'ont pas lésé ou compromis des biens juridiques particulièrement importants tels que l'intégrité corporelle, physique ou sexuelle. Partant, ses infractions n'ont pas attenté « de manière très grave » à la sécurité et à l'ordre publics au sens de la jurisprudence du Tribunal fédéral. Il n'y a dès lors pas lieu de se montrer particulièrement rigoureux pour évaluer le risque de récidive du recourant et la menace qu'il représente pour l'ordre public.</w:t>
      </w:r>
    </w:p>
    <w:p>
      <w:r>
        <w:t>À cet égard, il ne saurait être attribué qu'un poids restreint aux infractions commises avant 2000, en raison du temps écoulé et de leur caractère mineur. Il en va de même de la condamnation pour infraction à la LArm de 2006 et des deux condamnations pour infractions à la LCR de 2010, en raison de leur caractère mineur.</w:t>
      </w:r>
    </w:p>
    <w:p>
      <w:r>
        <w:t>Trois années et demie se sont écoulées depuis la sortie de détention préventive du recourant, les faits eux-mêmes remontant à 2010. Celui-ci a eu l'occasion de faire ses preuves et il apparaît que son comportement est pour l'instant sans reproches et que son évolution est positive. Il est raisonnable de penser que sa dernière condamnation a eu un effet de correction plus important que les précédentes sanctions à son égard prises dans le cadre d'infractions de moindre ampleur.</w:t>
      </w:r>
    </w:p>
    <w:p>
      <w:r>
        <w:t>Par conséquent, au vu de la nature des infractions commises par le recourant, du type de biens juridiques en cause, du temps écoulé et de son comportement depuis sa remise en liberté, la menace pour l'ordre et la sécurité publics que représente le recourant doit être relativisée. 20) Concernant son degré d'intégration, le requérant séjourne en Suisse depuis plus de trente ans, d'abord illégalement, puis légalement depuis près de quinze ans. Il maîtrise parfaitement le français et a été employé la plupart du temps depuis 2001. Il est marié depuis 1993 à une ressortissante bosniaque alors titulaire d'une autorisation de séjour et devenue suisse en 2004, et père de deux enfants majeurs, suisses également. Depuis 2001, il a œuvré au développement de l'entreprise familiale en assistant son épouse dans la gestion d'un établissement public, le café-bar H__________, devenu par la suite le K_________.</w:t>
      </w:r>
    </w:p>
    <w:p>
      <w:r>
        <w:t>Par conséquent, il faut considérer que l'intégration du requérant en Suisse est bonne. 21) En ce qui concerne les liens gardés par le recourant avec sa patrie d'origine, il a quitté celle-ci peu après l'âge de 20 ans et demeure en Suisse depuis plus de trente ans. 22) S'agissant de la situation familiale du recourant, il ne fait guère de doute que la relation que le recourant entretient avec son épouse et ses deux enfants est</w:t>
      </w:r>
    </w:p>
    <w:p>
      <w:r>
        <w:t>- 22/25 - A/2984/2013 étroite et effective, étant rappelé qu'ils sont mariés depuis plus de vingt ans. Les explications de son épouse lors des audiences de comparution personnelle sur la manière dont il assume son rôle de père et cultive l'unité de la famille sont à cet égard convaincantes.</w:t>
      </w:r>
    </w:p>
    <w:p>
      <w:r>
        <w:t>Par ailleurs, rien ne permet de considérer que son épouse était à même de connaître les activités délictuelles de son mari au moment de leur mariage en 1993. Ainsi, il ne peut être retenu qu'elle pouvait s'attendre à être séparée de son époux pour cause de renvoi – élément qui, sans être nécessairement décisif, revêt un poids certain de l'avis de la CourEDH.</w:t>
      </w:r>
    </w:p>
    <w:p>
      <w:r>
        <w:t>Compte tenu de sa nationalité et de sa situation professionnelle comme familiale en Suisse, il semble exclu que l'épouse du recourant accompagne ce dernier au Kosovo en cas de renvoi. De plus, ses origines bosniaques, son prénom à consonance serbe et le fait qu'elle ne parle pas l'albanais rendraient une intégration dans ce pays excessivement difficile. Une telle intégration ne saurait être raisonnablement exigée d'elle.</w:t>
      </w:r>
    </w:p>
    <w:p>
      <w:r>
        <w:t>Il en va de même des enfants du recourant. Ceux-ci étant majeurs, la protection découlant du droit au respect de la vie privée et familiale de l'art. 8 CEDH est certes atténuée. Cependant, il convient de relever qu'ils sont âgés respectivement de 19 et 21 ans et, n'ayant pas encore achevé leur formation professionnelle, dépendent encore financièrement de leurs parents. La présence de leur père auprès d'eux éviterait de compromettre leur situation financière et, partant, leur équilibre ainsi que leur vie en Suisse.</w:t>
      </w:r>
    </w:p>
    <w:p>
      <w:r>
        <w:t>Par conséquent, il s'impose d'attribuer un poids prépondérant à la situation familiale du recourant et aux répercussions négatives qu'aurait son renvoi sur la vie des membres de sa famille. 23) Dès lors, malgré la lourdeur de la dernière condamnation, il faut reconnaître que les circonstances actuelles, en particulier la situation professionnelle du recourant bien établie, la bonne évolution de son comportement, l'écoulement du temps depuis la commission des infractions, et surtout les forts liens qui le lient à son épouse et à ses deux enfants, dont on ne saurait exiger qu'ils l'accompagnent au Kosovo en cas de renvoi, ont pour conséquence que l'intérêt privé du recourant à pouvoir continuer de vivre avec les siens en Suisse l'emporte sur l'intérêt public à son éloignement du territoire helvétique.</w:t>
      </w:r>
    </w:p>
    <w:p>
      <w:r>
        <w:t>Partant, la révocation par l'OCPM de l'autorisation d'établissement du recourant apparaît disproportionnée, tant au regard de la LEtr que de l'art. 8 CEDH. 24) Le recourant doit toutefois être rendu attentif au fait que le maintien de son autorisation d'établissement implique un comportement exempt de toute faute. S'il</w:t>
      </w:r>
    </w:p>
    <w:p>
      <w:r>
        <w:t>- 23/25 - A/2984/2013 devait commettre un nouveau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25) Compte tenu de ce qui précède, le recours sera admis. Le jugement du TAPI du 18 mars 2014, de même que la décision de l'OCPM du 19 juillet 2013 seront annulés. 26) Vu l'issue du recours, aucun émolument ne sera perçu (art. 87 al. 1 LPA). Une indemnité de procédure de CHF 1'000.- sera allouée au recourant, qui y a conclu et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