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ATA/560/2014 vom 22. Juli 2014</w:t>
      </w:r>
    </w:p>
    <w:p>
      <w:r>
        <w:t>GE Cour de justice, 2014-07-22, FR</w:t>
      </w:r>
    </w:p>
    <w:p>
      <w:r>
        <w:rPr>
          <w:b/>
        </w:rPr>
        <w:t xml:space="preserve">Quelle: </w:t>
      </w:r>
      <w:r>
        <w:t>https://mcp.opencaselaw.ch/entscheid/ge_gerichte_ATA_560_2014</w:t>
      </w:r>
    </w:p>
    <w:p>
      <w:r>
        <w:t>FR: GE_GERICHTE ATA/560/2014 du 22 juillet 2014</w:t>
      </w:r>
    </w:p>
    <w:p>
      <w:r>
        <w:t>IT: GE_GERICHTE ATA/560/2014 del 22 luglio 2014</w:t>
      </w:r>
    </w:p>
    <w:p>
      <w:pPr>
        <w:pStyle w:val="Heading2"/>
      </w:pPr>
      <w:r>
        <w:t>Erwägungen</w:t>
      </w:r>
    </w:p>
    <w:p>
      <w:r>
        <w:rPr>
          <w:b/>
        </w:rPr>
        <w:t>E. 1</w:t>
      </w:r>
    </w:p>
    <w:p>
      <w:r>
        <w:t>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 4) a. La recourante soutient tout d’abord que, dans la configuration actuelle, la décision adjugeant le marché à l’appelée en cause, pour l’ensemble des intimées et sur la base d’un tarif à la tonne moyen identique pour les trois, viole les principes décrits dans la loi sur l’administration des communes du 13 avril 1984 (LAC - B 6 05), en particulier aux art. 51 ss, notamment dans la mesure où la mise en commun d’efforts dans le but d’assurer des tâches publiques ne pourrait passer que par l’adoption de statuts par les autorités communales compétentes. Selon elle, il appartenait aux trois communes de procéder chacune selon leur propre procédure ouverte et d’aboutir chacune à une décision d’adjudication indépendante, retenant l’offre économiquement la plus avantageuse indépendamment pour chacune d’entre elles.</w:t>
      </w:r>
    </w:p>
    <w:p>
      <w:r>
        <w:t>b. Comme le font valoir les intimées, ce grief, ressortant des circonstances déjà connues par la recourante à la lecture de l’appel d’offres, aurait dû prima facie, en application des art. 15 al. 1 et 1bis let. a AIMP et 55 let. a RMP, faire l’objet d’un recours contre l’appel d’offres lui-même, sous peine de forclusion.</w:t>
      </w:r>
    </w:p>
    <w:p>
      <w:r>
        <w:t>En effet, conformément à la jurisprudence, les griefs à l’encontre de l’appel d’offres ne peuvent plus être invoqués dans le cadre d’un recours dirigé contre la décision d’adjudication (Arrêt du Tribunal fédéral 2P.47/2004 du 6 avril 2004 ; ATA/20/2014 du 14 janvier 2014 consid. 13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t>c. Ce grief de la recourante paraît donc infondé, voire irrecevable. 5) a. La recourante invoque ensuite une violation du principe de non-discrimination et d’égalité de traitement, garanti par l’art. 16 RMP, de même qu’une violation du principe de la transparence.</w:t>
      </w:r>
    </w:p>
    <w:p>
      <w:r>
        <w:t>- 5/8 - A/1945/2014</w:t>
      </w:r>
    </w:p>
    <w:p>
      <w:r>
        <w:t>b. Sur la base d’un examen sommaire du dossier, il ne paraît pas avéré que les intimées se soient concentrées, de manière quasi-exclusive, sur les points positifs s’agissant de l’offre de l’appelée en cause et sur les points négatifs s’agissant de l’offre de la recourante. En effet, par exemple, sous le critère « organisation du soumissionnaire », l’évaluation mentionne, concernant la recourante, « personnel dédié œuvrant sur ce marché depuis de nombreuses années ayant une bonne expérience », ainsi que « désignation d’un M. Coheran (NDR : « Coheran » signifie Corsier, Hermance, Anières) et équipe de secours aussi dédiée », et, sous le critère « contribution de l’entreprise à la composante environnementale et sociale du développement durable », « grand nombre de mesures prises par le soumissionnaire en matière environnementale et sociale, qui sont bonnes au regard de la taille de l’entreprise, à l’exception de la formation d’apprentis (…) » et « excellente certification ». Sous le critère « qualification, qualité des références et expériences acquise pour un marché du même type », il a été relevé, concernant l’appelée en cause : « les références sont attestées avec des lettres de recommandation » mais « moins d’expérience que les autres soumissionnaires dans les levées de point de récupération et dans l’utilisation et la pose de capteurs pour laquelle le soumissionnaire fait appel à un tiers », et, concernant la recourante, « grande expérience dans les marchés des deux lots », mais « selon les informations en possession du comité d’évaluation la qualité des prestations n’est pas toujours à la hauteur des attentes des communes » et « malgré la connaissance des territoires communaux il n’a pas été mis en avant des problèmes rencontrés dans les levées alors que parfois le soumissionnaire n’intervient pas sans en avoir fait part aux communes pour lesquelles le soumissionnaire œuvre ».</w:t>
      </w:r>
    </w:p>
    <w:p>
      <w:r>
        <w:t>c. On ne voit prima facie pas non plus en quoi une « proposition d’harmonisation des jours de collectes pour les 3 communes », faite par l’appelée en cause et appréciée par les intimées sous le critère « organisation du marché et qualité de l’offre », constituerait une variante interdite par l’appel d’offres. Il est en outre relevé que sous ce critère d’adjudication, au chiffre 4.7 du dossier d’appel d’offres, est mentionné « qualité et intérêts des solutions et options proposées ».</w:t>
      </w:r>
    </w:p>
    <w:p>
      <w:r>
        <w:t>d. Dans l’évaluation, sous le critère « organisation du marché et qualité de l’offre », « points faibles/négatifs » de la recourante, est indiqué notamment : « L’organisation avec des prix différenciés à la tonne pour chaque commune va complètement à l’encontre de l’objectif poursuivi par les communes en ouvrant un marché public conjoint. Les explications données lors de l’audition n’ont absolument pas modifié cette position. Erreur de calcul dans la TVA du lot 2 ». Toujours s’agissant de la recourante, sous le critère « montant de l’offre, analyse du prix en rapport avec le cahier des charges », sous la question « tous les éléments ont-ils été correctement chiffrés », figure la réponse « non erreur (sic) de calcul sur la TVA dans le lot 2 » et, sous « crédibilité des prix énoncés », est écrit : « Les prix sont crédibles mais différenciés par commune. Le mode de calcul est difficile à appréhender et peu convaincant dans une prestation intercommunale ».</w:t>
      </w:r>
    </w:p>
    <w:p>
      <w:r>
        <w:t>- 6/8 - A/1945/2014</w:t>
      </w:r>
    </w:p>
    <w:p>
      <w:r>
        <w:t>La recourante soutient qu’elle a été pénalisée doublement, c’est-à-dire sous deux critères (l’offre puis le prix), par le fait que les intimées lui ont reproché d’avoir indiqué des prix différenciés selon les communes, alors que le dossier d’appel d’offres l’invitait à indiquer les prix à la tonne pour chacune des communes concernées et non un prix moyen identique pour chaque commune.</w:t>
      </w:r>
    </w:p>
    <w:p>
      <w:r>
        <w:t>Cela étant, il ne paraît prima facie pas établi, comme l’allèguent du reste les intimées, que l’indication par la recourante de prix par commune ait eu une influence déterminante sur l’évaluation des deux critères susmentionnés, l’appelée en cause ayant obtenu 125 points et la recourante 75,41 pour le premier critère, respectivement 126 et 81 pour le second critère.</w:t>
      </w:r>
    </w:p>
    <w:p>
      <w:r>
        <w:t>e. Par ailleurs, le fait que la « disponibilité » de l’appelée en cause soit retenue sous le critère « organisation du marché et qualité de l’offre » et sous celui de « qualification, qualité des références et expérience acquise pour un marché de même type » semble évoquer une évaluation effectuée tout d’abord sous l’angle de l’offre en tant que telle puis sous celui de l’expérience dans d’autres marchés, ce qui ne paraît prima facie pas redondant.</w:t>
      </w:r>
    </w:p>
    <w:p>
      <w:r>
        <w:t>f. Enfin, il n’est en l’état à tout le moins pas possible de retenir ou même de supposer que l’appelée en cause aurait cherché à tromper les adjudicateurs en leur indiquant disposer d’une « procédure de stockage des déchets interne (sic) et produit (sic) d’entretien » (cf. évaluation sous le critère « contribution de l’entreprise à la composante environnementale et sociale du développement durable »), alors qu’elle ne bénéficierait pas de l’autorisation correspondante. En particulier, le sens des termes « stockage des déchets » n’est dans le cas présent pas clairement explicité et un défaut d’autorisation ne paraît en l’état pas démontré.</w:t>
      </w:r>
    </w:p>
    <w:p>
      <w:r>
        <w:t>Pour ce qui est de l’assertion « réduction de CO2 de plus de 20 tonnes par an grâce à la proximité » contenue dans cette évaluation, on ne voit prima facie pas en quoi le chiffre 20, que la recourante juge impossible à atteindre, pourrait en tant que tel avoir été déterminant pour les intimées. Au demeurant, il s’agit d’un critère pondéré à seulement 15 %, dans le cadre duquel la recourante a obtenu plus de points que l’appelée en cause (64,50 contre 52,50). 6)</w:t>
      </w:r>
    </w:p>
    <w:p>
      <w:r>
        <w:t>C’est, à ce stade et prima facie, sans aucun début de preuve ou même d’indice que la recourante prétend que l’offre de l’appelée en cause serait anormalement basse au sens de l’art. 41 RMP, le seul fait que le prix total offert par celle-ci pour le lot n° 1, de CHF 390'305,10, soit d’environ 22 % moins cher que celui de la recourante ne paraissant à cet égard pas suffisant. 7)</w:t>
      </w:r>
    </w:p>
    <w:p>
      <w:r>
        <w:t>Sur la base de l’examen sommaire qui précède, les griefs de la recourante paraissent prima facie soit infondés, soit de relativement faible importance par rapport à l’ensemble des évaluations effectuées par les intimées, et le caractère déterminant de ces éventuels problèmes sur le choix de l’adjudicataire ne semble à ce</w:t>
      </w:r>
    </w:p>
    <w:p>
      <w:r>
        <w:t>- 7/8 - A/1945/2014 stade pas ressortir du dossier. Partant, les chances de succès du recours paraissent en l’état insuffisantes pour permettre la restitution de l'effet suspensif.</w:t>
      </w:r>
    </w:p>
    <w:p>
      <w:r>
        <w:t>En outre, les intimées allèguent être contractuellement liées à la recourante jusqu’au 30 septembre 2014, le contrat projeté avec le nouvel adjudicataire devant entrer en vigueur le 1er octobre 2014, et invoquent de ce fait un intérêt public à ce que le marché puisse être attribué et le contrat conclu avant cette date. Cet intérêt public paraît légitime et particulièrement important, d’autant plus au regard de l’importance et de la nécessité notoires de la collecte des déchets.</w:t>
      </w:r>
    </w:p>
    <w:p>
      <w:r>
        <w:t>La restitution de l’effet suspensif sera donc refusée. 8)</w:t>
      </w:r>
    </w:p>
    <w:p>
      <w:r>
        <w:t>Le sort des frais de la procédure sera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Bussard, avocat de la recourante, ainsi qu'à Me Bertrand R. Reich, avocat des intimées, et à Pradervand Transports Sàrl.</w:t>
      </w:r>
    </w:p>
    <w:p>
      <w:r>
        <w:t>Le vice-président :</w:t>
      </w:r>
    </w:p>
    <w:p>
      <w:r>
        <w:t>J.-M. Verniory</w:t>
      </w:r>
    </w:p>
    <w:p>
      <w:r>
        <w:t>- 8/8 - A/1945/2014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