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ATA/560/2012 vom 21. August 2012</w:t>
      </w:r>
    </w:p>
    <w:p>
      <w:r>
        <w:t>GE Cour de justice, 2012-08-21, FR</w:t>
      </w:r>
    </w:p>
    <w:p>
      <w:r>
        <w:rPr>
          <w:b/>
        </w:rPr>
        <w:t xml:space="preserve">Quelle: </w:t>
      </w:r>
      <w:r>
        <w:t>https://mcp.opencaselaw.ch/entscheid/ge_gerichte_ATA_560_2012</w:t>
      </w:r>
    </w:p>
    <w:p>
      <w:r>
        <w:t>FR: GE_GERICHTE ATA/560/2012 du 21 août 2012</w:t>
      </w:r>
    </w:p>
    <w:p>
      <w:r>
        <w:t>IT: GE_GERICHTE ATA/560/2012 del 21 agosto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Interjeté en temps utile devant la juridiction compétente, le recours est recevable (art. 132 de la loi sur l'organisation judiciaire du 26 septembre 2010 - LOJ - E 2 05 ; art. 62 al. 1 let. a de la loi sur la procédure administrative du 12 septembre 1985 - LPA - E 5 10).</w:t>
      </w:r>
    </w:p>
    <w:p>
      <w:r>
        <w:rPr>
          <w:b/>
        </w:rPr>
        <w:t>E. 2</w:t>
      </w:r>
    </w:p>
    <w:p>
      <w:r>
        <w:t>Selon l’art. 61 al. 2 de la loi fédérale sur les étrangers du 16 décembre 2005 (LEtr - RS 142.20), l’autorisation d’établissement d’un étranger quittant la Suisse sans déclarer son départ prend automatiquement fin après six mois. Sur demande, l’autorisation d’établissement peut être maintenue pendant quatre ans.</w:t>
      </w:r>
    </w:p>
    <w:p>
      <w:r>
        <w:t>Selon la jurisprudence récente (Arrêts du Tribunal fédéral 2C_853/2010 du 22 mars 2011 ; 2C_43/2011 du 4 février 2011), confirmant celle, constante, rendue à propos de l’art. 9 al. 3 let. c de l’ancienne loi fédérale sur le séjour et l’établissement des étrangers du 26 mars 1931 (aLSEE - RS 142.20) abrogé par la loi sur les étrangers mais qui reste applicable au regard de l'art. 61 al. 2 LEtr (Arrêt du Tribunal fédéral 2C_408/2010 du 15 décembre 2010, consid. 3.3), l'autorisation d'établissement prenait fin lorsque l'étranger séjournait à l'étranger de manière ininterrompue pendant six mois consécutifs, quels que soient les causes de cet éloignement et les motifs de l'intéressé (ATF 120 Ib 369 consid. 2c et d p. 372 s.; 112 Ib 1 consid. 2a p. 2 et ss.).</w:t>
      </w:r>
    </w:p>
    <w:p>
      <w:r>
        <w:rPr>
          <w:b/>
        </w:rPr>
        <w:t>E. 3</w:t>
      </w:r>
    </w:p>
    <w:p>
      <w:r>
        <w:t>En l’espèce, le recourant a quitté la Suisse au plus tard lors de son incarcération en Grande-Bretagne, le 13 septembre 2007. Dès lors qu’il n’a pas sollicité le maintien de son autorisation d’établissement avant le 13 mars 2008, cette dernière est automatiquement devenue caduque à cette date.</w:t>
      </w:r>
    </w:p>
    <w:p>
      <w:r>
        <w:t>Elle ne peut en conséquence plus être prolongée et le recours doit être rejeté.</w:t>
      </w:r>
    </w:p>
    <w:p>
      <w:r>
        <w:t>- 5/7 - A/70/2010</w:t>
      </w:r>
    </w:p>
    <w:p>
      <w:r>
        <w:rPr>
          <w:b/>
        </w:rPr>
        <w:t>E. 4</w:t>
      </w:r>
    </w:p>
    <w:p>
      <w:r>
        <w:t>M. M______ plaidant au bénéfice de l’assistance juridique, aucun émolument ne sera mis à sa charge (art. 87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