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ATA/55/2021 vom 19. Januar 2021</w:t>
      </w:r>
    </w:p>
    <w:p>
      <w:r>
        <w:t>GE Cour de justice, 2021-01-19, FR</w:t>
      </w:r>
    </w:p>
    <w:p>
      <w:r>
        <w:rPr>
          <w:b/>
        </w:rPr>
        <w:t xml:space="preserve">Quelle: </w:t>
      </w:r>
      <w:r>
        <w:t>https://mcp.opencaselaw.ch/entscheid/ge_gerichte_ATA_55_2021</w:t>
      </w:r>
    </w:p>
    <w:p>
      <w:r>
        <w:t>FR: GE_GERICHTE ATA/55/2021 du 19 janvier 2021</w:t>
      </w:r>
    </w:p>
    <w:p>
      <w:r>
        <w:t>IT: GE_GERICHTE ATA/55/2021 del 19 gennaio 2021</w:t>
      </w:r>
    </w:p>
    <w:p>
      <w:pPr>
        <w:pStyle w:val="Heading2"/>
      </w:pPr>
      <w:r>
        <w:t>Regeste</w:t>
      </w:r>
    </w:p>
    <w:p>
      <w:r>
        <w:t>Résumé: Rejet d’un recours contre la révocation d’une autorisation d’exploiter un café restaurant en raison de l’absence d’un condition légale nécessaire et cumulative, due à la suspension de la validité de son diplôme pour une durée de trente-six mois déjà confirmée sur recours.</w:t>
      </w:r>
    </w:p>
    <w:p>
      <w:pPr>
        <w:pStyle w:val="Heading2"/>
      </w:pPr>
      <w:r>
        <w:t>Erwägungen</w:t>
      </w:r>
    </w:p>
    <w:p>
      <w:r>
        <w:rPr>
          <w:b/>
        </w:rPr>
        <w:t>E. 12</w:t>
      </w:r>
    </w:p>
    <w:p>
      <w:r>
        <w:t>septembre 1985 - LPA - E 5 10). 2) a. L'exploitation de toute entreprise vouée à la restauration, au débit de boissons et à l'hébergement est soumise à l'obtention préalable d'une autorisation d'exploiter délivrée par le département (art. 8 al. 1 LRDBHD).</w:t>
      </w:r>
    </w:p>
    <w:p>
      <w:r>
        <w:t>b. L’autorisation d’exploiter est délivrée notamment si l’exploitant est titulaire du diplôme attestant de son aptitude à exploiter et gérer une entreprise soumise à la présente loi (art. 9 let. c LRDBHD).</w:t>
      </w:r>
    </w:p>
    <w:p>
      <w:r>
        <w:t>c. L'autorisation d'exploiter une entreprise est délivrée à condition que l'exploitant, notamment, offre toute garantie d’une exploitation personnelle et effective de l’entreprise, compte tenu notamment de son lieu de domicile ou de résidence et de sa disponibilité, ou encore du respect de l'interdiction de recourir à un prête-nom ou de servir comme tel durant les trente-six mois qui précèdent le dépôt de la requête en autorisation (art. 9 al. 1 let. e LRDBHD).</w:t>
      </w:r>
    </w:p>
    <w:p>
      <w:r>
        <w:t>d. L'autorisation d'exploiter est révoquée par le département lorsque les conditions de sa délivrance ne sont plus remplies, ainsi qu'en cas de non-paiement de la taxe annuelle prévue par la présente loi (art. 14 LRDBHD).</w:t>
      </w:r>
    </w:p>
    <w:p>
      <w:r>
        <w:t>e. L’art. 64 LRDBHD prévoit les mesures en cas de violation de l'interdiction de prête-nom : le département prononce la suspension, pour une durée de trente- six mois, de la validité du diplôme dont le titulaire sert de prête-nom pour l'exploitation d'une entreprise (al. 1). Le département retire l'autorisation d'exploiter et ordonne la fermeture immédiate de l’entreprise, en application de l'art. 61 (al. 2). Le département ne peut entrer en matière sur une nouvelle demande d’autorisation de la personne ayant servi de prête-nom, du propriétaire de l’entreprise ou de toute autre personne qui a eu recours à un prête-nom pendant un délai de trente-six mois à compter du jour où la décision visée à l'al. 2 est entrée en force (al. 3).</w:t>
      </w:r>
    </w:p>
    <w:p>
      <w:r>
        <w:t>D’autres mesures peuvent s’ajouter, à l’instar notamment d’une amende administrative, prévue par l’art. 65 LRDBHD.</w:t>
      </w:r>
    </w:p>
    <w:p>
      <w:r>
        <w:t>f. Il ressort des travaux préparatoires ayant mené à l’adoption de la LRDBHD que l’un des buts de la refonte était de renforcer l’interdiction de la pratique du prête-nom, laquelle, répandue mais inacceptable, devait être plus efficacement combattue au moyen de sanctions plus lourdes (exposé des motifs relatif au PL 11'282, p. 44). Une telle pratique permettait d’obtenir frauduleusement des autorités compétentes une autorisation indue, en vue de contourner l’un des piliers de la loi, à savoir le régime d’autorisation qui supposait que seule une personne formée et détentrice du diplôme prévu par la loi exploite effectivement l’entreprise autorisée (exposé des motifs relatif au PL 11'282, p. 76 ;</w:t>
      </w:r>
    </w:p>
    <w:p>
      <w:r>
        <w:t>- 5/7 - A/2969/2020 ATA/1214/2018 du 13 novembre 2018 consid. 2c ; ATA/262/2018 du 20 mars 2018 consid. 4d).</w:t>
      </w:r>
    </w:p>
    <w:p>
      <w:r>
        <w:t>Lesdits travaux préparatoires relèvent que l’art. 9 al. 1 let. e LRDBH prévoit l’une des mesures de lutte contre la pratique des prête-noms, qui empêche toute personne qui a eu recours à un prête-nom ou qui a servi de prête-nom, en mettant frauduleusement son diplôme à disposition d’un gérant démuni de ce titre, de requérir durant trente-six mois une autorisation d’exploiter une entreprise soumise à la présente loi (PL 11282 p. 53). 3)</w:t>
      </w:r>
    </w:p>
    <w:p>
      <w:r>
        <w:t>En l’espèce, le recourant a fait l’objet, le 5 mars 2019, d’une décision suspendant notamment la validité de son diplôme pour une durée de trente-six mois au sens de l’art. 64 LRDBHD pour avoir servi de prête-nom pour l’exploitation d’un autre établissement. Dite décision a été confirmée sur recours (arrêt du Tribunal fédéral 2C_214/2020 du 9 juillet 2020 confirmant l’ATA/81/2020 du 28 janvier 2020).</w:t>
      </w:r>
    </w:p>
    <w:p>
      <w:r>
        <w:t>C’est en conséquence à bon droit que le PCTN a fait application de l’art. 14 LRDBHD et a révoqué l’autorisation d’exploiter de l’intéressé. S’agissant de l’absence d’une condition légale nécessaire et cumulative, il n’y avait pas lieu d’examiner la proportionnalité de la décision de révocation. Cette décision est conforme à la volonté du législateur de renforcer l’interdiction de la pratique du prête-nom. Par ailleurs, le recourant ne peut plus être considéré comme étant titulaire du diplôme, la validité de celui-ci ayant été suspendue pour trente-six mois par décision du 5 mars 2019, la condition posée par l’art. 9 al. 1 let. c LRDBHD – qui en exige la titularité – n’est plus remplie non plus (ATA/1214/2018 précité consid. 2d).</w:t>
      </w:r>
    </w:p>
    <w:p>
      <w:r>
        <w:t>C’est donc en vain que le recourant invoque une atteinte disproportionnée à la liberté économique telle que garantie par l’art. 27 de la Constitution fédérale de la Confédération suisse du 18 avril 1999 (Cst. - RS 101) puisqu’il lui reste notamment la possibilité de mettre l’établissement en gérance.</w:t>
      </w:r>
    </w:p>
    <w:p>
      <w:r>
        <w:t>Il résulte de ce qui précède que la décision attaquée est conforme au droit. Le recours sera par conséquent rejeté. 4)</w:t>
      </w:r>
    </w:p>
    <w:p>
      <w:r>
        <w:t>Vu l’issue du litige, un émolument de CHF 500.- sera mis à la charge du recourant, qui succombe (art. 87 al. 1 LPA), et aucune indemnité de procédure ne lui sera allouée (art. 87 al. 2 LPA).</w:t>
      </w:r>
    </w:p>
    <w:p>
      <w:r>
        <w:t>* * * * *</w:t>
      </w:r>
    </w:p>
    <w:p>
      <w:r>
        <w:t>- 6/7 - A/2969/2020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