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ATA/55/2017 vom 24. Januar 2017</w:t>
      </w:r>
    </w:p>
    <w:p>
      <w:r>
        <w:t>GE Cour de justice, 2017-01-24, FR</w:t>
      </w:r>
    </w:p>
    <w:p>
      <w:r>
        <w:rPr>
          <w:b/>
        </w:rPr>
        <w:t xml:space="preserve">Quelle: </w:t>
      </w:r>
      <w:r>
        <w:t>https://mcp.opencaselaw.ch/entscheid/ge_gerichte_ATA_55_2017</w:t>
      </w:r>
    </w:p>
    <w:p>
      <w:r>
        <w:t>FR: GE_GERICHTE ATA/55/2017 du 24 janvier 2017</w:t>
      </w:r>
    </w:p>
    <w:p>
      <w:r>
        <w:t>IT: GE_GERICHTE ATA/55/2017 del 24 gennaio 2017</w:t>
      </w:r>
    </w:p>
    <w:p>
      <w:pPr>
        <w:pStyle w:val="Heading2"/>
      </w:pPr>
      <w:r>
        <w:t>Regeste</w:t>
      </w:r>
    </w:p>
    <w:p>
      <w:r>
        <w:t>Résumé: La recourante demande à ce que des charges commerciales (frais de personnel, marchandises, etc.) soient prises en considération dans le chiffre d'affaires non déclaré. Toutefois et alors que le fardeau de la preuve lui incombait, la recourante a délibérément refusé de produire toutes pièces justificatives. Elle doit ainsi supporter les conséquences de ce refus. De plus, on ne peut admettre que ces charges puissent être déduites sur la base d'une simple estimation basée sur des statistiques générales découlant de l'organe faîtier de la restauration. Recours rejeté.</w:t>
      </w:r>
    </w:p>
    <w:p>
      <w:pPr>
        <w:pStyle w:val="Heading2"/>
      </w:pPr>
      <w:r>
        <w:t>Erwägungen</w:t>
      </w:r>
    </w:p>
    <w:p>
      <w:r>
        <w:rPr>
          <w:b/>
        </w:rPr>
        <w:t>E. 1</w:t>
      </w:r>
    </w:p>
    <w:p>
      <w:r>
        <w:t>Interjeté en temps utile devant la juridiction compétente, le recours est recevable de ces points de vue (art. 7 al. 2 de la loi de procédure fiscale du</w:t>
      </w:r>
    </w:p>
    <w:p>
      <w:r>
        <w:rPr>
          <w:b/>
        </w:rPr>
        <w:t>E. 4</w:t>
      </w:r>
    </w:p>
    <w:p>
      <w:r>
        <w:t>La problématique de la provision pour impôt n'étant plus litigieuse, l'objet du litige consiste uniquement à déterminer si c'est de manière conforme au droit</w:t>
      </w:r>
    </w:p>
    <w:p>
      <w:r>
        <w:t>- 9/13 - A/159/2015 que l'AFC-GE, suivie en cela par le TAPI, a refusé de tenir compte des charges liées au chiffre d'affaires non déclaré pour les années fiscales 2006 à 2010.</w:t>
      </w:r>
    </w:p>
    <w:p>
      <w:r>
        <w:t>Pour la recourante, il conviendrait de procéder à une estimation en se fondant sur les données statistiques de Gastro suisse en 2010, desquelles il ressort que le bénéfice net équivaudrait à 21,20 % du chiffre d'affaires réalisé.</w:t>
      </w:r>
    </w:p>
    <w:p>
      <w:r>
        <w:rPr>
          <w:b/>
        </w:rPr>
        <w:t>E. 5</w:t>
      </w:r>
    </w:p>
    <w:p>
      <w:r>
        <w:t>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ATA/778/2016 du 13 septembre 2016 consid. 3).</w:t>
      </w:r>
    </w:p>
    <w:p>
      <w:r>
        <w:rPr>
          <w:b/>
        </w:rPr>
        <w:t>E. 6</w:t>
      </w:r>
    </w:p>
    <w:p>
      <w:r>
        <w:t>a. Selon l’art. 57 de la loi fédérale sur l’impôt fédéral direct du 14 décembre 1990 (LIFD - RS 642.11), l’impôt sur le bénéfice a pour objet le bénéfice net.</w:t>
      </w:r>
    </w:p>
    <w:p>
      <w:r>
        <w:t>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w:t>
      </w:r>
    </w:p>
    <w:p>
      <w:r>
        <w:t>Il comprend également les produits qui n’ont pas été comptabilisés dans le compte de résultats, inclus, sous certaines conditions, les bénéfices en capital, les bénéfices de réévaluation et ceux de liquidation (art. 58 al. 1 let. c LIFD).</w:t>
      </w:r>
    </w:p>
    <w:p>
      <w:r>
        <w:t>b. Les cantons doivent imposer l’ensemble du bénéfice net dans lequel doivent notamment être inclus les produits et les bénéfices en capital, de liquidation et de réévaluation qui n’ont pas été portés au crédit du compte de résultats (art. 24 al. 1 let. b de la loi fédérale sur l’harmonisation des impôts directs des cantons et des communes du 14 décembre 1990 - LHID - RS 642.14).</w:t>
      </w:r>
    </w:p>
    <w:p>
      <w:r>
        <w:t>Dans le canton de Genève, en matière d’ICC, le 30 mars 2016 est entrée en vigueur la nouvelle teneur de l’art. 12 de la loi sur l’imposition des personnes morales du 23 septembre 1994 (LIPM - D 3 15) adoptée le 29 janvier 2016 par le Grand Conseil.</w:t>
      </w:r>
    </w:p>
    <w:p>
      <w:r>
        <w:t>En règle générale, s'appliquent aux faits dont les conséquences juridiques sont en cause, les normes en vigueur au moment où ces faits se produisent (ATA/1184/2015 du 3 novembre 2015 ; ATA/113/2013 du 26 février 2013 ; Pierre MOOR/Alexandre FLÜCKIGER/Vincent MARTENET, Droit administratif, vol. 1, 3ème éd., 2012, p. 184). La rétroactivité d'une disposition légale est contraire aux principes de la sécurité et de la prévisibilité du droit. Elle n'est admise qu'exceptionnellement par la jurisprudence, qui exige, entre autres</w:t>
      </w:r>
    </w:p>
    <w:p>
      <w:r>
        <w:t>- 10/13 - A/159/2015 conditions, qu'elle figure dans une base légale claire (ATF 116 Ia 207 consid. 4a ; ATA/778/2016 du 13 septembre 2016 consid. 4b ; ATA/1184/2015 précité ; ATA/113/2013 précité ; Pierre MOOR/Alexandre FLÜCKIGER/Vincent MARTENET, op. cit., p. 200).</w:t>
      </w:r>
    </w:p>
    <w:p>
      <w:r>
        <w:t>La LIPM ne comprend aucune disposition transitoire prévoyant notamment l’application de la nouvelle teneur de l’art. 12 LIPM aux causes pendantes au moment de son entrée en vigueur. Il sera ainsi fait application des dispositions légales idoines dans leurs teneurs antérieures aux décisions de taxation en cause (ci-après : aLIPM) (ATA/778/2016 précité consid. 4c).</w:t>
      </w:r>
    </w:p>
    <w:p>
      <w:r>
        <w:t>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(ATA/337/2013 du 28 mai 2013 consid. 5b et les arrêts cités).</w:t>
      </w:r>
    </w:p>
    <w:p>
      <w:r>
        <w:t>c. Selon les art. 59 LIFD et 13 aLIPM a contrario, les charges qui ne sont pas justifiées par l’usage commercial ne sont pas déductibles.</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ATA/652/2016 du 26 juillet 2016 consid. 3d ; ATA/332/2016 du 19 avril 2016 ; ATA/1309/2015 du</w:t>
      </w:r>
    </w:p>
    <w:p>
      <w:r>
        <w:rPr>
          <w:b/>
        </w:rPr>
        <w:t>E. 8</w:t>
      </w:r>
    </w:p>
    <w:p>
      <w:r>
        <w:t>Au vu de ce qui précède, le recours sera rejeté.</w:t>
      </w:r>
    </w:p>
    <w:p>
      <w:r>
        <w:rPr>
          <w:b/>
        </w:rPr>
        <w:t>E. 9</w:t>
      </w:r>
    </w:p>
    <w:p>
      <w:r>
        <w:t>En application des art. 87 al. 1 LPA et 1 et 2 du règlement sur les frais, émoluments et indemnités en procédure administrative du 30 juillet 1986 (RFPA - E 5 10.03), la recourante, qui succombe, sera condamnée au paiement d’un émolument s’élevant à CHF 500.-. Vu l’issue du litige, il ne sera pas alloué d’indemnité de procédure (art. 87 al. 2 LPA).</w:t>
      </w:r>
    </w:p>
    <w:p>
      <w:r>
        <w:t>* * * * *</w:t>
      </w:r>
    </w:p>
    <w:p>
      <w:r>
        <w:t>- 12/13 - A/159/2015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