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ATA/55/2013 vom 29. Januar 2013</w:t>
      </w:r>
    </w:p>
    <w:p>
      <w:r>
        <w:t>GE Cour de justice, 2013-01-29, FR</w:t>
      </w:r>
    </w:p>
    <w:p>
      <w:r>
        <w:rPr>
          <w:b/>
        </w:rPr>
        <w:t xml:space="preserve">Quelle: </w:t>
      </w:r>
      <w:r>
        <w:t>https://mcp.opencaselaw.ch/entscheid/ge_gerichte_ATA_55_2013</w:t>
      </w:r>
    </w:p>
    <w:p>
      <w:r>
        <w:t>FR: GE_GERICHTE ATA/55/2013 du 29 janvier 2013</w:t>
      </w:r>
    </w:p>
    <w:p>
      <w:r>
        <w:t>IT: GE_GERICHTE ATA/55/2013 del 29 gennaio 2013</w:t>
      </w:r>
    </w:p>
    <w:p>
      <w:pPr>
        <w:pStyle w:val="Heading2"/>
      </w:pPr>
      <w:r>
        <w:t>Erwägungen</w:t>
      </w:r>
    </w:p>
    <w:p>
      <w:r>
        <w:rPr>
          <w:b/>
        </w:rPr>
        <w:t>E. 1</w:t>
      </w:r>
    </w:p>
    <w:p>
      <w:r>
        <w:t>Interjeté le 23 janvier 2013 contre le jugement du TAPI prononcé et communiqué à l’intéressé le 14 janvier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23 janvier 2013, le délai de dix jours vient à échéance au plus tôt le 2 février 2013.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w:t>
      </w:r>
    </w:p>
    <w:p>
      <w:r>
        <w:t>- 8/11 - A/54/2013 voyage nécessaires et que le transport est garanti (T. GÄCHTER / M. KRADOLFER in M. CARONI / T. GÄCHTER / D. THURNHERR [éd.], Bundesgesetz über die Ausländerinnen und Ausländer [AuG], Berne 2010, n. 22 ad art. 69 LEtr). En l’espèce, le recourant prétend être de nationalité malienne et demande à se rendre dans ce pays. Dès lors qu’il ne dispose d’aucun document, notamment d’identité, laissant croire à une telle nationalité ou un laissez-passer lui permettant de se rendre valablement dans ce pays, il ne peut être donné suite à cette requête.</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LAsi (art. 76 al. 1 let. b ch. 3 LEtr) ou si son comportement permet de conclure qu’il se refuse à obtempérer aux instructions des autorités (art. 76 al. 1 let. b ch. 4 LEtr). Il en va de même s’il a été condamné pour crime (art. 76 al. 1 let. b et 75 al. 1 let. h LEtr).</w:t>
      </w:r>
    </w:p>
    <w:p>
      <w:r>
        <w:t>La chambre de céans a jugé le 1er novembre 2012 que les conditions de mise en détention administrative en application de l’art. 76 al. 1 let. b ch. 3 et 4 LEtr mais aussi des art. 75 al. 1 let. h et 76 al. 1 let. b LEtr étaient réalisées. Même si le recourant continue à conclure à l’absence de risque de fuite, aucun élément du dossier ne suggère que les circonstances aient changé sous cet angle depuis cet arrêt. Il en va de même de la condamnation pour crime. Le maintien en détention reste donc fondé.</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15 août 2012. Les autorités administratives ont entrepris avec célérité les démarches nécessaires à l’exécution du renvoi. Si l’exécution du renvoi a pris du temps, c’est en raison de l’absence de coopération du recourant mais également du temps nécessaire pour lui obtenir un laissez-passer, les autorités suisses étant tributaires des autorités du pays d’origine pour cela. Le principe de célérité a ainsi été respecté.</w:t>
      </w:r>
    </w:p>
    <w:p>
      <w:r>
        <w:t>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w:t>
      </w:r>
    </w:p>
    <w:p>
      <w:r>
        <w:t>- 9/11 - A/54/2013</w:t>
      </w:r>
    </w:p>
    <w:p>
      <w:r>
        <w:t>La durée de la détention, qui est en l’état inférieure à la durée légale maximale de dix-huit mois prévue par l’art. 79 LEtr, respecte également la garantie constitutionnelle précitée.</w:t>
      </w:r>
    </w:p>
    <w:p>
      <w:r>
        <w:rPr>
          <w:b/>
        </w:rPr>
        <w:t>E. 7</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w:t>
      </w:r>
    </w:p>
    <w:p>
      <w:r>
        <w:rPr>
          <w:b/>
        </w:rPr>
        <w:t>E. 8</w:t>
      </w:r>
    </w:p>
    <w:p>
      <w:r>
        <w:t>Le recourant allègue un risque d’arrestation à son retour en Guinée. Il n’a cependant jamais établi la réalité ou la nature de ce risque, permettant d’en admettre la crédibilité. De même, il allègue que des motifs médicaux s’opposeraient à son retour. Si les diverses pathologies dont souffre le recourant ne sont pas contestables, elles ne sont toutefois pas de nature à rendre impossible son renvoi, qu’il s’agisse des lésions hémorroïdaires ou de son état, pas plus que ne le serait, s’il était démontré, le fait que la qualité des soins en Guinée n’était pas équivalente à celle existant en Suisse.</w:t>
      </w:r>
    </w:p>
    <w:p>
      <w:r>
        <w:rPr>
          <w:b/>
        </w:rPr>
        <w:t>E. 9</w:t>
      </w:r>
    </w:p>
    <w:p>
      <w:r>
        <w:t>Mal fondé, le recours sera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- 10/11 - A/54/2013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