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ATA/558/2016 vom 28. Juni 2016</w:t>
      </w:r>
    </w:p>
    <w:p>
      <w:r>
        <w:t>GE Cour de justice, 2016-06-28, FR</w:t>
      </w:r>
    </w:p>
    <w:p>
      <w:r>
        <w:rPr>
          <w:b/>
        </w:rPr>
        <w:t xml:space="preserve">Quelle: </w:t>
      </w:r>
      <w:r>
        <w:t>https://mcp.opencaselaw.ch/entscheid/ge_gerichte_ATA_558_2016</w:t>
      </w:r>
    </w:p>
    <w:p>
      <w:r>
        <w:t>FR: GE_GERICHTE ATA/558/2016 du 28 juin 2016</w:t>
      </w:r>
    </w:p>
    <w:p>
      <w:r>
        <w:t>IT: GE_GERICHTE ATA/558/2016 del 28 giugno 2016</w:t>
      </w:r>
    </w:p>
    <w:p>
      <w:pPr>
        <w:pStyle w:val="Heading2"/>
      </w:pPr>
      <w:r>
        <w:t>Regeste</w:t>
      </w:r>
    </w:p>
    <w:p>
      <w:r>
        <w:t>Résumé: Comblement d'un mur de soutènement effectué sans autorisation de construire. Les ajouts de mur non prévus par l'autorisation de construire initiale étaient relativement importants et ne pouvaient pas échapper à la connaissance des recourants. Quand bien même ces travaux ont été organisés et financés par la société, propriétaire de la parcelle voisine, les recourants n'ont pas remis en cause leur responsabilité de principe en rapport avec les travaux litigieux. Ils n'ont pas contesté devoir endosser la responsabilité des actes de la société voisine - dont l'administrateur avait été leur propre conseil - et de leur mandataire. Le principe de l'amende doit être confirmé. Montant de l'amende fixé par le TAPI confirmé (CHF 5'000.-). Recours rejeté.</w:t>
      </w:r>
    </w:p>
    <w:p>
      <w:pPr>
        <w:pStyle w:val="Heading2"/>
      </w:pPr>
      <w:r>
        <w:t>Erwägungen</w:t>
      </w:r>
    </w:p>
    <w:p>
      <w:r>
        <w:rPr>
          <w:b/>
        </w:rPr>
        <w:t>E. 12</w:t>
      </w:r>
    </w:p>
    <w:p>
      <w:r>
        <w:t>septembre 1985 - LPA - E 5 10). 2)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1C.424/2009 du 6 septembre 2010 consid. 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ATA/432/2008 du 27 août 2008 consid. 2b).</w:t>
      </w:r>
    </w:p>
    <w:p>
      <w:r>
        <w:t>b. En l’occurrence, la production par l’intimé d’amendes administratives aux montants identiques ou comparables n’apparaît ni utile, ni nécessaire, dans la mesure où ceux-ci sont fixés en fonction des circonstances particulières de chaque</w:t>
      </w:r>
    </w:p>
    <w:p>
      <w:r>
        <w:t>- 12/16 - A/1817/2014 cas et où, en tout état de cause, ils ne sauraient restreindre le TAPI et la chambre de céans dans leur pouvoir d’appréciation.</w:t>
      </w:r>
    </w:p>
    <w:p>
      <w:r>
        <w:t>Quant à la question de la légalité de l’arrêt du chantier de E______ du 28 juin 2012, elle est sans aucune pertinence, les travaux ayant donné lieu au prononcé de l’amende litigieuse n’étant pas ceux dudit chantier.</w:t>
      </w:r>
    </w:p>
    <w:p>
      <w:r>
        <w:t>Ainsi, la chambre administrative dispose d’un dossier complet lui permettant de se prononcer sur les griefs soulevés en toute connaissance de cause sans besoin d’actes d’instruction complémentaires, et le TAPI ne saurait avoir violé le droit d’être entendus des recourants concernant ces deux points.</w:t>
      </w:r>
    </w:p>
    <w:p>
      <w:r>
        <w:t>S’agissant du reproche fait au TAPI de ne pas avoir entendu M. H______, l’éventuelle violation – qui ne serait à tout le moins pas grave – du droit d’être entendu des intéressés se trouverait en tout état de cause réparée par l’audition de ce témoin, dans le cadre de la procédure de recours devant la chambre administrative, qui dispose du même pouvoir d'examen que le TAPI (ATF 137 I 195 consid. 2.3.2 ; 133 I 201 consid. 2.2 ; arrêt du Tribunal fédéral 1C_533/2012 du 12 septembre 2013 consid. 2.1 ; ATA/666/2015 du 23 juin 2015 consid. 2b). 3) a. 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w:t>
      </w:r>
    </w:p>
    <w:p>
      <w:r>
        <w:t>b. Aux termes de l’art. 137 LCI, est passible d'une amende administrative de CHF 100.- à CHF 150'000.- tout contrevenant à la LCI, aux règlements et aux arrêtés édictés en vertu de ladite loi, ainsi qu'aux ordres donnés par le DALE dans les limites desdits loi, règlements et arrêtés (al. 1) ; le montant maximum de l’amende est de CHF 20'000.- lorsqu’une construction, une installation ou tout autre ouvrage a été entrepris sans autorisation mais que les travaux sont conformes aux prescriptions légales (al. 2) ;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w:t>
      </w:r>
    </w:p>
    <w:p>
      <w:r>
        <w:t>c. Les amendes administratives prévues par les législations cantonales sont de nature pénale, car aucun critère ne permet de les distinguer clairement des</w:t>
      </w:r>
    </w:p>
    <w:p>
      <w:r>
        <w:t>- 13/16 - A/1817/2014 contraventions pour lesquelles la compétence administrative de première instance peut au demeurant aussi exister. C’est dire que la quotité de la sanction administrative doit être fixée en tenant compte des principes généraux régissant le droit pénal (ATA/824/2015 du 11 août 2015 consid. 14b et les références citées).</w:t>
      </w:r>
    </w:p>
    <w:p>
      <w:r>
        <w:t>d.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(ATA/824/2015 précité consid. 14b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ATA/824/2015 précité consid. 14c et les références citées).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consid. 14d et les références citées).</w:t>
      </w:r>
    </w:p>
    <w:p>
      <w:r>
        <w:t>e. Le mandant doit endosser la responsabilité des actes de son mandataire (ATA/260/2014 du 15 avril 2014 consid. 15e ; ATA/135/2011 du 1er mars 2011 consid. 10). 4)</w:t>
      </w:r>
    </w:p>
    <w:p>
      <w:r>
        <w:t>En l’espèce, dans le cadre de la DD 6______ portant sur la construction de deux villas jumelles, qui a donné lieu à la procédure contentieuse qui s’est close par l’ATA/344/2013 du 4 juin 2013, la parcelle actuelle n° 2______ a commencé à être creusée par E______ à fin février ou au début mars 2012, peu de temps avant la vente, le 22 juin 2012, de la parcelle voisine n° 1______ aux recourants. Ces travaux de terrassement ont rendu nécessaire un mur de soutènement afin d’éviter un affaissement du terrain, de la maison et de la piscine récemment acquis par les intéressés. À cette fin, avait été initialement envisagé puis autorisé par le département, avant même l’acquisition de la parcelle voisine n° 1______ par les recourants, un mur de soutènement posé sur la parcelle n° 2______.</w:t>
      </w:r>
    </w:p>
    <w:p>
      <w:r>
        <w:t>- 14/16 - A/1817/2014</w:t>
      </w:r>
    </w:p>
    <w:p>
      <w:r>
        <w:t>Toutefois, en raison de l’arrêt de chantier ordonné le 28 juin 2012 par le département dans le cadre de la DD 6______, le projet de mur de soutènement (paroi berlinoise) a été, à l’initiative de E______, déplacé sur la parcelle des intéressés, en limite avec la parcelle n° 2______, et a fait l’objet de l’APA 8______ déposée le 22 avril 2013 et admise par le DALE le 6 juin 2013. Même s’ils n’ont pas signé le formulaire de demande, les recourants étaient manifestement d’accord avec le déplacement du mur de soutènement à cet endroit de leur parcelle.</w:t>
      </w:r>
    </w:p>
    <w:p>
      <w:r>
        <w:t>Ce mur de soutènement s’est cependant révélé insuffisant pour éviter un affaissement de la parcelle des intéressés du fait du terrassement de la parcelle de E______. Des travaux non prévus dans l’APA 8______ ont alors été exécutés, sans autorisation préalable. Ces ajouts de mur non prévus dans l’APA initiale, notamment celui au sud-est et celui au nord-ouest, étaient relativement importants et ne pouvaient donc pas échapper à la connaissance des intéressés.</w:t>
      </w:r>
    </w:p>
    <w:p>
      <w:r>
        <w:t>Ce n’est que plusieurs mois après la première autorisation, le 6 juin 2013, que les recourants ont, le 14 janvier 2014, déposé la seconde demande APA, ce alors que les travaux non autorisés avaient commencé avant les constatations effectuées le 19 novembre 2013 par l’inspecteur du département.</w:t>
      </w:r>
    </w:p>
    <w:p>
      <w:r>
        <w:t>Si les travaux afférents aux deux APA ont été pris en charge à tous les niveaux, y compris l’organisation et le financement, par E______ et que cette dernière et M. H______ ont joué un rôle très important dans la mise en œuvre des modifications non autorisées par la première APA, les recourants n’ont pas remis en cause leur responsabilité de principe en rapport avec les travaux litigieux, mais ont plutôt nié le caractère non autorisé de ces derniers et le principe de l’amende administrative. Ils n’ont notamment pas contesté devoir endosser la responsabilité des actes de E______ – dont l’administrateur était jusqu’au 15 janvier 2016 leur propre conseil – et de leur mandataire dans le cadre de la deuxième APA, M. H______.</w:t>
      </w:r>
    </w:p>
    <w:p>
      <w:r>
        <w:t>Le principe du prononcé d’une amende administrative doit en conséquence être confirmé. 5)</w:t>
      </w:r>
    </w:p>
    <w:p>
      <w:r>
        <w:t>Le montant de l’amende administrative, fixé par le TAPI à CHF 5'000.-, soit le quart du montant maximal pour des travaux conformes aux prescriptions légales, n’apparaît pas constitutif d’un abus ou d’un excès du pouvoir d’appréciation (art. 61 al. 1 let. a LPA) de ladite juridiction, vu l’ensemble des circonstances, s’agissant notamment de travaux non autorisés en cours d’exécution qui étaient d’une certaine importance et pour lesquels la nécessité d’une demande d’autorisation, même sous forme d’APA, ne pouvait pas échapper aux recourants et à leur mandataire. 6)</w:t>
      </w:r>
    </w:p>
    <w:p>
      <w:r>
        <w:t>Vu ce qui précède, le recours, infondé, sera rejeté.</w:t>
      </w:r>
    </w:p>
    <w:p>
      <w:r>
        <w:t>- 15/16 - A/1817/2014</w:t>
      </w:r>
    </w:p>
    <w:p>
      <w:r>
        <w:t>Vu l’issue du litige, un émolument de CHF 500.- sera mis à la charge des recourants, conjointement et solidairement entre eux (art. 87 al. 1 LPA). Il ne sera pas alloué d’indemnité de procédure (art. 87 al. 2 LPA). 7)</w:t>
      </w:r>
    </w:p>
    <w:p>
      <w:r>
        <w:t>Dans l’hypothèse où des faits décrits ci-dessus pourraient le cas échéant être problématiques au sens de l’art. 11 al. 2 let. b de la loi sur l’exercice des professions d’architecte et d’ingénieur du 17 décembre 1982 (LPAI - L 5 40) et/ou au sens des art. 42 ss de la loi sur la profession d’avocat du 26 avril 2002 (LPAv - E 6 10), le présent arrêt est transmis, pour information, à la Chambre des architectes et des ingénieurs, ainsi qu’à la commission du barreau.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