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ATA/557/2012 vom 21. August 2012</w:t>
      </w:r>
    </w:p>
    <w:p>
      <w:r>
        <w:t>GE Cour de justice, 2012-08-21, FR</w:t>
      </w:r>
    </w:p>
    <w:p>
      <w:r>
        <w:rPr>
          <w:b/>
        </w:rPr>
        <w:t xml:space="preserve">Quelle: </w:t>
      </w:r>
      <w:r>
        <w:t>https://mcp.opencaselaw.ch/entscheid/ge_gerichte_ATA_557_2012</w:t>
      </w:r>
    </w:p>
    <w:p>
      <w:r>
        <w:t>FR: GE_GERICHTE ATA/557/2012 du 21 août 2012</w:t>
      </w:r>
    </w:p>
    <w:p>
      <w:r>
        <w:t>IT: GE_GERICHTE ATA/557/2012 del 21 agosto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En droit cantonal genevois, la loi dispose que « le secret professionnel a pour but de protéger la sphère privée du patient » (art. 87 al. 2 de la loi sur la santé du 7 avril 2006 - LS - K 1 03).</w:t>
      </w:r>
    </w:p>
    <w:p>
      <w:r>
        <w:t>Le respect de la sphère privée du patient est imposé par le droit fédéral ainsi que par l’ensemble des droits fondamentaux ancrés dans la Constitution fédérale de la Confédération suisse du 18 avril 1999 (Cst. - RS 101) et la Convention de sauvegarde des droits de l’homme et des libertés fondamentales du 4 novembre 1950 (CEDH - RS 0.101). De manière générale, le respect du caractère confidentiel des informations sur la santé constitue un principe essentiel du système juridique de toutes les parties contractantes à la CEDH, au nombre desquelles figure la Suisse. Selon la jurisprudence de la Cour européenne des droits de l’homme,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 du Tribunal fédéral 4C.111/2006 du 7 novembre 2006, consid. 2.3.1).</w:t>
      </w:r>
    </w:p>
    <w:p>
      <w:r>
        <w:t>b. Selon l’art. 88 LS, le médecin tenu au secret professionnel peut en être délié par le patient ou, s’il existe de justes motifs, par la commission du secret professionnel (art. 88 al. 1er LS en relation avec l’art. 12 al. 1er LS). A teneur de cette même disposition, sont réservées les dispositions légales concernant l’obligation de renseigner une autorité ou de témoigner en justice (art. 88 al. 2 LS).</w:t>
      </w:r>
    </w:p>
    <w:p>
      <w:r>
        <w:t>c. La finalité du secret médical n’est pas de protéger la vie privée du patient, mais de sauvegarder la santé de celui-ci. Quant à l’obligation de respecter le secret médical, elle ne protège pas uniquement la santé de l’individu mais elle tient</w:t>
      </w:r>
    </w:p>
    <w:p>
      <w:r>
        <w:t>- 4/5 - A/2043/2012 également compte de la santé de la collectivité. Ainsi, ce dernier élément reste un paramètre essentiel et traduit la pesée des intérêts qui intervient entre secret médical et intérêt collectif dans certains domaines où la santé publique peut être mise en danger (cf. J. STROUN, D. BERTRAND, Médecin, Secret médical et Justice, p. 115 ss.).</w:t>
      </w:r>
    </w:p>
    <w:p>
      <w:r>
        <w:t>Cela étant, le respect du secret médical trouve ses limites dans les principes généraux du droit administratif, notamment celui de la proportionnalité.</w:t>
      </w:r>
    </w:p>
    <w:p>
      <w:r>
        <w:rPr>
          <w:b/>
        </w:rPr>
        <w:t>E. 3</w:t>
      </w:r>
    </w:p>
    <w:p>
      <w:r>
        <w:t>En l’espèce, il ressort du dossier que tant la pièce que le prof. P______ souhaite remettre aux autorités tutélaires que l’audition de ce dernier par le Tribunal tutélaire sont des éléments importants pour que soit instaurée la mesure la plus adéquate à la situation de la recourante. Cette dernière ne fournit d’ailleurs pas de justification pertinente pour s’opposer à la levée du secret médical. La teneur de son recours est par ailleurs de nature à démontrer que l’intérêt de la recourante réside dans le fait que le Tribunal tutélaire soit parfaitement informé avant de rendre une décision la concernant.</w:t>
      </w:r>
    </w:p>
    <w:p>
      <w:r>
        <w:rPr>
          <w:b/>
        </w:rPr>
        <w:t>E. 4</w:t>
      </w:r>
    </w:p>
    <w:p>
      <w:r>
        <w:t>Au vu de ce qui précède, le recours sera rejeté. Un émolument de CHF 500.- sera mis à la charge de la recourante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