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ATA/556/2023 vom 30. Mai 2023</w:t>
      </w:r>
    </w:p>
    <w:p>
      <w:r>
        <w:t>GE Cour de justice, 2023-05-30, FR</w:t>
      </w:r>
    </w:p>
    <w:p>
      <w:r>
        <w:rPr>
          <w:b/>
        </w:rPr>
        <w:t xml:space="preserve">Quelle: </w:t>
      </w:r>
      <w:r>
        <w:t>https://mcp.opencaselaw.ch/entscheid/ge_gerichte_ATA_556_2023</w:t>
      </w:r>
    </w:p>
    <w:p>
      <w:r>
        <w:t>FR: GE_GERICHTE ATA/556/2023 du 30 mai 2023</w:t>
      </w:r>
    </w:p>
    <w:p>
      <w:r>
        <w:t>IT: GE_GERICHTE ATA/556/2023 del 30 maggio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a pris plusieurs conclusions préalables. 2.1 L’audience de conciliation devant le Tribunal administratif de première instance (ci-après : TAPI), en application de l’art. 65B LPA, s’étant tenue le 14 novembre 2022, cette conclusion n’a plus d’objet. 2.2 La recourante sollicite une audience publique au cours de laquelle la directrice générale de l’OCIRT devrait être entendue. 2.2.1 Tel qu'il est garanti par l'art. 29 al. 2 de la Constitution fédérale de la Confédération suisse du 18 avril 1999 (Cst. - RS 101),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2.2.2 L'art. 6 par. 1 CEDH donne à toute personne le droit à ce que sa cause soit entendue publiquement par un tribunal indépendant et impartial, qui décidera soit des contestations sur ses droits et obligations de caractère civil, soit du bien-fondé de toute accusation en matière pénale dirigée contre elle. Il peut être renoncé à une audience publique dans les cas prévus par l'art. 6 par. 1 2ème phr. CEDH, lorsqu’il apparaît clairement que le recours est manifestement bien-fondé ou encore lorsque l'objet du litige porte sur des questions hautement techniques (ATF 141 I 97 consid. 5.1 ; 136 I 279 consid. 1 ; 134 I 331 consid. 2.3).</w:t>
      </w:r>
    </w:p>
    <w:p>
      <w:r>
        <w:t>- 5/15 - A/3227/2022</w:t>
      </w:r>
    </w:p>
    <w:p>
      <w:r>
        <w:t>La CourEDH a également rappelé que l'art. 6 CEDH, en dehors des limitations expressément prévues par cette disposition,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CEDH même en l'absence de débats publics (arrêt de la CourEDH Mutu et Pechstein contre Suisse du 2 octobre 2018 § 177 ; arrêt du Tribunal fédéral 8D_5/2019 du 4 juin 2020 consid. 3.2.2). 2.2.3 En l'espèce, le dossier comprend les écritures des parties ainsi que les pièces produites à leur appui, étant rappelé que la procédure administrative est en principe écrite (art. 18 LPA). Le dossier apparaît ainsi complet et en état d’être jugé.</w:t>
      </w:r>
    </w:p>
    <w:p>
      <w:r>
        <w:t>En outre, il sera renoncé à la tenue d’une audience publique, dans la mesure où les questions à trancher, purement juridiques, peuvent être traitées de manière adéquate en procédure écrite. Les impressions et appréciations personnelles des parties ne sont en particulier pas déterminantes. Il n’existe pas non plus de question de crédibilité qu’il conviendrait d’établir. Dès lors, la chambre de céans considère que le présent litige n'exige pas la tenue d'une audience publique et qu’elle peut se prononcer de manière équitable et raisonnable sur la base des conclusions présentées par les parties et les pièces produites. Enfin, l’audition de la directrice générale de l’OCIRT n’est pas nécessaire, dans la mesure où la position de cette autorité est largement connue. 2.3 La recourante sollicite des enquêtes. 2.3.1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w:t>
      </w:r>
    </w:p>
    <w:p>
      <w:r>
        <w:t>- 6/15 - A/3227/2022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2.3.2 En l’espèce, les allégations de preuve par témoins sont toutes générales et aucune précision sur la qualité des témoins n’est fournie. La recourante a pu s’exprimer par écrit tant devant l’OCIRT que la chambre de céans et produire toutes pièces utiles. Elle n’expose pas quelles informations supplémentaires, utiles à la solution du litige, les enquêtes pourraient apporter, étant précisé que l’OCIRT a fourni les statistiques sur la composition de son personnel. La chambre de céans considère ainsi être en possession d’un dossier complet en état d’être jugé. Il ne sera en conséquence pas donné suite à sa requête. 2.4 La recourante conclut à la production de nombreuses pièces. Elle sollicite l’intégralité de son dossier, toutes pièces démontrant les pratiques consistant à maintenir, d’une part, le personnel plus âgé et, d’autre part, le personnel féminin, sous statut d’auxiliaire et/ou dans une relation de travail de durée déterminée, respectivement à nommer employé et/ou fonctionnaire pour une durée indéterminée le personnel moins âgé ; b) maintenir le personnel plus âgé sous statut d’auxiliaire et/ou dans une relation de travail de durée déterminée, respectivement à nommer employé et/ou fonctionnaire pour une durée indéterminée d’une part le personnel moins âgé et d’autre part le personnel masculin, ainsi que la pratique consistant à engager le personnel pérenne avec le statut d’auxiliaire puis le nommer s’il donne satisfaction. L’autorité intimée conteste l’existence des pratiques décrites et a fortiori celle de documents y relatifs. L’autorité intimée a par ailleurs fourni des statistiques relatives à la structure de son personnel. Il ne sera pas donné suite à cette requête pour autant qu’elle ait encore un objet. 2.5 Les conclusions nouvelles formulées dans la réplique (production de la liste des personnes engagées au sein de la PCTN, avec de nombreux détails, listés) seront de même écartées, n’étant pas pertinentes au vu du peu de personnes concernées et des statistiques déjà produites, conformément aux considérants qui suivent. 3. Dans un premier grief, la recourante se plaint de l’établissement inexact de trois faits. 3.1 La recourante se trompe lorsqu’elle soutient que la première prolongation était liée au départ à la retraite de sa collègue. L’autorité intimée explique, de façon</w:t>
      </w:r>
    </w:p>
    <w:p>
      <w:r>
        <w:t>- 7/15 - A/3227/2022 convaincante, que le poste prêté temporairement par le service de la main-d’œuvre étrangère, lui a été rendu au départ de la collaboratrice. 3.2 L’existence d’une discrimination à raison du sexe et de l’âge ne ressort pas des statistiques de l’autorité intimée. Selon la structure des effectifs de l’OCIRT au 30 septembre 2022, les fonctions non permanentes étaient occupées essentiellement par des hommes (sept postes sur douze) et deux tiers des fonctions non permanentes l’étaient par des personnes jeunes, de moins de 35 ans. 3.3 La recourante ne peut être suivie lorsqu’elle soutient que la réelle et commune intention des parties était un engagement de durée indéterminée. Le contrat signé indique clairement tant le statut d’auxiliaire que la durée limitée de son engagement. De même, aucune pièce du dossier ne fait mention d’éventuelles promesses faites à l’intéressée. Elle n’offre de prouver le fait qu’elle aurait été « rassurée plusieurs fois » que par l’audition des parties. Or, l’autorité intimée le conteste et aucune pièce du dossier n’en atteste, le courriel d’D______ ne pouvant pas être compris comme une garantie pour l’avenir, conformément aux considérants qui suivent. Le grief de constatation inexacte de faits sera rejeté. 4. La recourante se plaint de violation de la LPAC. Les relations entre l’OCIRT et son personnel sont régies par la LPAC et par le règlement d’application de la LPAC du 24 février 1999 (RPAC - B 5 05.01). 4.1 L'art. 3 LPAC précise qu'il existe au sein de l'administration cantonale genevoise des fonctions permanentes et des fonctions non permanentes (al. 1). Sont permanentes les fonctions exercées par le personnel régulier, fonctionnaires ou employées et employés, pour assurer l'accomplissement des tâches dévolues de façon durable à l'administration ou aux établissements (al. 2). Sont non permanentes les fonctions exercées par les auxiliaires et les agentes et agents spécialisés pour permettre l'accomplissement de tâches dévolues occasionnellement à l'administration ou aux établissements, ou le remplacement temporaire du titulaire d'une fonction permanente (al. 3). Le personnel de la fonction publique se compose de fonctionnaires, d'employées et employés, d'auxiliaires, d'agentes et agents spécialisés et de personnel en formation (art. 4 al. 1 LPAC). Selon l'art. 7 LPAC, est une ou un auxiliaire le membre du personnel engagé en cette qualité pour une durée déterminée ou indéterminée aux fins d'assurer des travaux temporaires (al. 1) ; la relation de service ne peut excéder une durée maximale de trois ans ; cette limite ne s'applique pas à l'auxiliaire accomplissant des tâches intermittentes et de très courte durée (al. 2) ; la durée d'engagement est</w:t>
      </w:r>
    </w:p>
    <w:p>
      <w:r>
        <w:t>- 8/15 - A/3227/2022 prise en compte comme période probatoire en cas d'accès au statut d'employée ou employé (al. 3). Selon l'art. 47 al. 3 RPAC, l'auxiliaire ayant occupé un poste sans interruption depuis trois ans peut également être nommé. 4.2 L'ancienne LPAC du 15 octobre 1987 (aLPAC) ne prévoyait aucune limitation de la durée des rapports de service avec une ou un auxiliaire, qui ne pouvait alors être engagé que pour une durée déterminée. Dans la pratique, des personnes avaient été engagées comme auxiliaires pendant une période beaucoup plus longue que celle qui avait été déterminée, voire pour des tâches permanentes et illimitées (Mémorial du Grand Conseil genevois [MGC] 1997 55/IX 9648; 1996 43/VI 6410). Pour remédier à ces problèmes, il a été proposé, lors de l'adoption de la nouvelle LPAC, d'engager les auxiliaires pour une durée déterminée ou indéterminée, mais n'excédant pas quatre ans (MGC 1996 43/VI 6357), limite qui a finalement été ramenée à trois ans après des discussions avec les syndicats (MGC 1997 55/IX 9672).</w:t>
      </w:r>
    </w:p>
    <w:p>
      <w:r>
        <w:rPr>
          <w:b/>
        </w:rPr>
        <w:t>E. 5</w:t>
      </w:r>
    </w:p>
    <w:p>
      <w:r>
        <w:t>À teneur de l'art. 24 LPAC, applicable pour les personnes qui ne sont ni fonctionnaires ni employés, lorsqu'un contrat est conclu pour une durée déterminée, les rapports de service prennent fin à l'échéance dudit contrat (al. 1). Lorsque le contrat est conclu pour une durée indéterminée, chacune des parties peut mettre fin aux rapports de service en respectant le délai de congé. La personne concernée est entendue par l'autorité compétente ; elle peut demander que le motif de la résiliation lui soit communiqué (al. 2).</w:t>
      </w:r>
    </w:p>
    <w:p>
      <w:r>
        <w:rPr>
          <w:b/>
        </w:rPr>
        <w:t>E. 5.1</w:t>
      </w:r>
    </w:p>
    <w:p>
      <w:r>
        <w:t>Il n'existe pas de droit au renouvellement du contrat de durée déterminée (ATA/560/2020 du 9 juin 2020 consid. 3b ; ATA/398/2012 du 26 juin 2012 consid. 6 ; ATA/840/2003 du 18 novembre 2003 consid. 3a). L'échéance d'un contrat de durée déterminée ne constitue pas un licenciement ou une sanction disciplinaire ; c'est un simple fait objectif qui n'est pas susceptible de recours (ATA/569/2010 du 31 août 2010 consid. 1a). Le courrier par lequel l'employeuse ou employeur rappelle l'échéance du contrat n'est donc pas une décision car il ne crée, ne modifie ou n'annule pas de droits ou d'obligations (ATA/768/2014 du 30 septembre 2014 consid. 2b ; ATA/142/2006 du 14 mars 2006 consid. 3).</w:t>
      </w:r>
    </w:p>
    <w:p>
      <w:r>
        <w:rPr>
          <w:b/>
        </w:rPr>
        <w:t>E. 5.2</w:t>
      </w:r>
    </w:p>
    <w:p>
      <w:r>
        <w:t>Selon la fiche 01.05.01 du Mémento des instructions de l'office du personnel de l'État (ci-après : MIOPE et OPE), un nouveau contrat d'auxiliaire ou son renouvellement s'inscrit dans le cadre restrictif du remplacement des absences de longue durée, du rattachement à un projet ou de gestion d'une surcharge de travail, et ne saurait être utilisé ni pour des motifs d'essai dans une fonction permanente, ni en attente d'une régularisation dans un poste permanent, ni en attente de la régularisation du domicile, dans les cas où ce dernier est imposé à Genève.</w:t>
      </w:r>
    </w:p>
    <w:p>
      <w:r>
        <w:rPr>
          <w:b/>
        </w:rPr>
        <w:t>E. 5.3</w:t>
      </w:r>
    </w:p>
    <w:p>
      <w:r>
        <w:t>Lorsque l'autorité d'engagement maintient artificiellement une employée ou un employé dans un statut d'auxiliaire par des contrats successifs ininterrompus pour éluder les garanties offertes par la loi aux titulaires d'un emploi fixe, elle commet</w:t>
      </w:r>
    </w:p>
    <w:p>
      <w:r>
        <w:t>- 9/15 - A/3227/2022 un abus de droit et la personne concernée doit être considérée comme un membre du personnel régulier (ATA/768/2014 précité consid. 2c). Tel était le cas d'une personne ayant été engagée en qualité d'auxiliaire par contrats successifs, avec une brève interruption de deux mois, durant quatre ans, l'autorité ayant sciemment eu recours à ce procédé pour bénéficier de ses compétences pendant une période supérieure à trois ans, tout en la maintenant dans le statut précaire d'auxiliaire (ATA/574/2007 du 13 novembre 2007 consid. 6).</w:t>
      </w:r>
    </w:p>
    <w:p>
      <w:r>
        <w:rPr>
          <w:b/>
        </w:rPr>
        <w:t>E. 6</w:t>
      </w:r>
    </w:p>
    <w:p>
      <w:r>
        <w:t>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w:t>
      </w:r>
    </w:p>
    <w:p>
      <w:r>
        <w:rPr>
          <w:b/>
        </w:rPr>
        <w:t>E. 6.1</w:t>
      </w:r>
    </w:p>
    <w:p>
      <w:r>
        <w:t>La LEg a pour but de promouvoir dans les faits l'égalité entre femmes et hommes (art. 1 LEg). Les dispositions en matière d'égalité dans les rapports de travail s'appliquent aux rapports de travail régis par le droit privé et par le droit public fédéral, cantonal ou communal (art. 2 LEg).</w:t>
      </w:r>
    </w:p>
    <w:p>
      <w:r>
        <w:rPr>
          <w:b/>
        </w:rPr>
        <w:t>E. 6.2</w:t>
      </w:r>
    </w:p>
    <w:p>
      <w:r>
        <w:t>À teneur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à la formation continue, à la promotion et à la résiliation des rapports de travail (al. 2).</w:t>
      </w:r>
    </w:p>
    <w:p>
      <w:r>
        <w:rPr>
          <w:b/>
        </w:rPr>
        <w:t>E. 6.3</w:t>
      </w:r>
    </w:p>
    <w:p>
      <w:r>
        <w:t>Selon l'art. 5 LEg, lorsque la discrimination porte sur un refus d’embauche ou la résiliation de rapports de travail régis par le CO, la personne lésée ne peut prétendre qu’au versement d’une indemnité par l’employeur. Celle-ci est fixée compte tenu de toutes les circonstances et calculée sur la base du salaire auquel la personne discriminée avait droit ou aurait vraisemblablement eu droit (al. 2). En cas de discrimination portant sur un refus d’embauche, l’indemnité prévue à l’al. 2 n’excédera pas le montant correspondant à trois mois de salaire (al. 4 1ère phr.).</w:t>
      </w:r>
    </w:p>
    <w:p>
      <w:r>
        <w:rPr>
          <w:b/>
        </w:rPr>
        <w:t>E. 6.4</w:t>
      </w:r>
    </w:p>
    <w:p>
      <w:r>
        <w:t>L'art. 6 LEg est une règle spéciale par rapport au principe général de l'art. 8 du Code civil suisse du 10 décembre 1907 (CC - RS 210), lequel prescrit à celui qui allègue un fait pour en déduire un avantage d'en apporter la preuve. L'art. 6 LEg instaure un assouplissement du fardeau de la preuve d'une discrimination à raison du sexe, en ce sens qu'il suffit à la partie demanderesse de rendre vraisemblable l'existence d'une telle discrimination par l'apport d'indices objectifs pour engendrer un renversement du fardeau de la preuve. Autrement dit, si la vraisemblance de la discrimination est démontrée, il appartient à l'employeur d'apporter la preuve stricte qu'elle n'existe pas (ATF 131 II 393 consid. 7.1 ; 130 III 145 consid. 4.2 et 5.2 et les références). À teneur de l'art. 6 LEg</w:t>
      </w:r>
    </w:p>
    <w:p>
      <w:r>
        <w:t>- 10/15 - A/3227/2022 2ème phr. LEg, l'allègement du fardeau de la preuve s'applique à l'attribution des tâches, à l'aménagement des conditions de travail, à la rémunération, à la formation et au perfectionnement professionnels, à la promotion et à la résiliation des rapports de travail. Selon la jurisprudence, il ressort de cette dernière disposition que l'allègement du fardeau de la preuve ne s'applique pas à l'embauche (arrêts du Tribunal fédéral 8C_821/2016 du 26 janvier 2018 consid. 3.3 ; 2A.329/2002 du 14 janvier 2003, consid. 3 avec les références de doctrine). Il n'en reste pas moins que la preuve d'une discrimination à l'embauche est excessivement difficile à rapporter. Le juge devra donc le plus souvent se satisfaire d'une vraisemblance prépondérante (arrêt du Tribunal fédéral 8C_719/2021 du 4 octobre 2022 consid. 2.4).</w:t>
      </w:r>
    </w:p>
    <w:p>
      <w:r>
        <w:rPr>
          <w:b/>
        </w:rPr>
        <w:t>E. 7</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(ATA/851/2021 du 24 août 2021 consid. 5a et l'arrêt cité).</w:t>
      </w:r>
    </w:p>
    <w:p>
      <w:r>
        <w:rPr>
          <w:b/>
        </w:rPr>
        <w:t>E. 7.1</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135 I 79 consid. 3 ; 132 III 770 consid. 4).</w:t>
      </w:r>
    </w:p>
    <w:p>
      <w:r>
        <w:rPr>
          <w:b/>
        </w:rPr>
        <w:t>E. 7.2</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129 I 161 consid. 4). Il protège le citoyen dans la confiance légitime qu'il met dans les assurances reçues des autorités lorsqu'il a réglé sa conduite d'après des décisions, des déclarations ou un comportement déterminé de l'administration (ATF 137 II 182 consid. 3.6.2 ; 137 I 69 consid. 2.5.1). La protection de la bonne foi ne s'applique pas si l'intéressé connaissait l'inexactitude de l'indication ou aurait pu la connaître en consultant simplement les dispositions légales pertinentes (ATF 135 III 489 consid. 4.4 ; 134 I 199 consid. 1.3.1).</w:t>
      </w:r>
    </w:p>
    <w:p>
      <w:r>
        <w:t>- 11/15 - A/3227/2022</w:t>
      </w:r>
    </w:p>
    <w:p>
      <w:r>
        <w:rPr>
          <w:b/>
        </w:rPr>
        <w:t>E. 8</w:t>
      </w:r>
    </w:p>
    <w:p>
      <w:r>
        <w:t>En l'espèce, il convient en premier lieu d'analyser la situation juridique par rapport à la « résiliation » des rapports de service de la recourante. La recourante a été engagée en qualité d'auxiliaire le 15 juillet 2019 pour une période de six mois (du 15 juillet 2019 au 15 janvier 2020). Le contrat a été renouvelé le 8 janvier 2020 pour une durée de douze mois (du 15 janvier 2020 au 15 janvier 2021). Ce contrat a finalement été une nouvelle fois renouvelé le 14 janvier 2021 pour une durée de 18 mois, du 15 janvier 2021 au 14 juillet 2022. Les contrats de la recourante n'ont ainsi pas dépassé la période maximale de trois ans prévue pour un contrat d'auxiliaire. Par ailleurs, la situation de la recourante ne s’apparente pas à une succession de contrats de durée déterminée qui serait constitutive d’un abus de droit, aucun élément du dossier ne permettant d’affirmer que l'intimé aurait eu pour objectif d’éluder les garanties offertes par la loi aux titulaires d’un emploi fixe. L’engagement de la recourante a été effectué en remplacement d’un congé pour une grossesse et un accouchement. Comme vu ci-dessus, son contrat n’a pas été prolongé en remplacement de la personne partant à la retraite. Les parties ne contestent pas qu’il y avait du travail. La recourante ne peut toutefois pas être suivie lorsqu’elle indique que le secrétariat du service juridique nécessite deux postes. Il s’agit de son appréciation personnelle. Même à considérer que cet avis soit partagé par certains collaborateurs dudit service, ces derniers n’ont pas la compétence de décider de l’affectation des postes au sein de l’OCIRT. Enfin, une telle position pourrait être contraire aux constats de la CdC qui précisait que les ressources du secteur juridique avaient fortement varié depuis le précédent audit en 2010, passant de 2,6 équivalents temps plein (ci-après : ETP) à 7,8. « La direction de la PCTN et son département de tutelle n’ont pas mené de réflexion stratégique suffisante quant à l’organisation de la PCTN en termes d’efficience ni quant à la recherche de solutions pour résoudre les difficultés récurrentes auxquelles elle est confrontée […]. Ainsi la PCTN a pour l’instant ajusté les effectifs du secteur juridique à l’évolution de son activité sans analyser de manière approfondie la pertinence et l’efficience de certaines prestations en matière de services rendus à la population au regard de l’importance des risques couverts par les inspections ». Neuchâtel est cité en exemple, avec une réduction des charges de personnel de 38% à la suite de la réorganisation de son service du commerce. Appliquée à Genève, une telle réduction de la masse salariale serait une économie de 2 millions. « Suivant les axes de simplification et les priorités retenues par le département, il serait ainsi possible de diminuer, voire de supprimer certaines prestations de la PCTN et de réallouer les collaborateurs concernés à d’autres tâches ». Au vu des circonstances, la recourante ne peut valablement soutenir qu’un deuxième poste de secrétariat s’impose, le service juridique de la PCTN devant précisément se restructurer.</w:t>
      </w:r>
    </w:p>
    <w:p>
      <w:r>
        <w:t>- 12/15 - A/3227/2022 Aucun avis de fin de contrat à la recourante ne s’imposait, le contrat de durée déterminée prenant fin à son échéance, comme le prévoit l'art. 24 al. 1 LPAC, à l’instar du droit privé. Le contrat de durée déterminée prend fin ipso jure et automatiquement par le seul écoulement du temps, sans qu’une résiliation soit nécessaire (ATA/382/2023 du 18 avril 2023 consid. 8m et les références citées). L'art. 24 al. 1 LPAC, qui s'applique à toute personne au bénéfice d'un contrat de durée déterminée, n'introduit dès lors pas de discrimination directe, que ce soit par rapport à l’âge ou au sexe. Il n'y a pas non plus de discrimination indirecte à raison du sexe dans le contexte de la « résiliation » des rapports de service de la recourante. Les rapports de travail liant la recourante à l'intimé ont pris fin le 14 juillet 2022 sans discrimination ni violation de la LEg.</w:t>
      </w:r>
    </w:p>
    <w:p>
      <w:r>
        <w:rPr>
          <w:b/>
        </w:rPr>
        <w:t>E. 9</w:t>
      </w:r>
    </w:p>
    <w:p>
      <w:r>
        <w:t>La recourante soutient que l’OCIRT a violé l’art. 7 LPAC, au motif que les travaux qui lui étaient confiés n’étaient pas temporaires. Il ressort des annexes au rapport d’activité de la Cour des comptes qu’au 30 juin 2020 aucune des six recommandations n’avait été mise en œuvre, et des reports de délais avaient été sollicités notamment à la suite de l’arrivée d’un nouveau directeur, en août 2019, après une direction ad intérim, assurée à la suite du départ rapide de l’ancien directeur en août 2018. Au 30 juin 2021, deux recommandations avaient été mises en œuvre. Dès lors, une surcharge temporaire, en lien avec l’audit de la CdC est établie, à l’instar de la nécessité de limiter l’engagement de personnel en fixe. Ainsi, l’argument de la recourante selon lequel son cahier des charges, ne prévoyait aucune tâche ne serait temporaire est sans pertinence sur le caractère ponctuel de la surcharge ou d’un surcroît de tâches particulières, en l’occurrence la mise en œuvre des recommandations de la CdC. De même, le fait que l’annonce parue en mai 2022 ne fasse pas mention d’un « renfort temporaire », ni de la gestion d’une « surcharge de travail », contrairement à des annonces parues par le pouvoir judiciaire est sans incidence, en l’absence de toute obligation légale de le préciser. Il ne peut être nié que dès lors que seules deux des six recommandations avaient été réalisées au 30 juin 2021, certaines tâches restaient à accomplir au 15 juillet 2022. Il ne peut non plus être contesté que la mise en œuvre desdites recommandations est une activité ponctuelle qui implique un surcroît de travail. Dans ces conditions, les appréciations de la recourante quant au caractère pérenne de ses tâches ou à la nécessité, pour le service juridique, d’avoir une deuxième secrétaire ne sont que la substitution de sa propre appréciation de la situation à celle de l’autorité intimée compétente dans la gestion de ses ressources en personnel notamment.</w:t>
      </w:r>
    </w:p>
    <w:p>
      <w:r>
        <w:t>- 13/15 - A/3227/2022 Soutenir que « l’OCIRT a engagé dix auxiliaires en 2022, ce qui démontre encore une fois que ses besoins en personnel sont en constante augmentation et que, contrairement à ce que l’office allègue, il n’y a pas de limitation des engagements telle que la CdC le préconisait » est une erreur. L’engagement d’auxiliaires permet précisément de limiter les engagements de personnel fixe, tout en résorbant certains retards décrits dans le rapport de la CDC, conformément à la demande de celle-ci. De même, le fait que le secteur juridique fonctionne avec deux secrétaires depuis 2016, voire même avant, est sans pertinence compte tenu des conclusions du rapport de la CdC, tout comme le fait que l’OCIRT ait laissé entendre à une autre auxiliaire, âgée de plus de 40 ans, que son travail devrait déboucher sur un emploi fixe. D’une part, rien n’interdit un engagement après un emploi d’auxiliaire. D’autre part, la situation n’est pas comparable, E______ étant en charge de tâches autres que la recourante. La recourante n’avait aucun droit à être engagée à l’issue sous statut des trois années d’auxiliaire (art. 47 al. 3 RPAC). La demande du chef du service juridique de décembre 2020 quant à la stabilisation du poste, outre qu’il n’est pas établi qu’elle concernerait la période postérieure au contrat d’auxiliaire soit après le 15 juillet 2022 et qu’elle ne portait pas sur la seule question du renouvellement le 15 janvier 2021, confirme que le souhait du service était, à l’instar de celui de la recourante, que celle-ci puisse rester. Autre est la question du financement des postes et de leur allocation aux différents services, ce que la recourante ne peut ignorer. Le chef du service juridique n’avait pas la compétence de l’engager, ce que le fait qu’il vienne aux nouvelles tendait précisément à confirmer.</w:t>
      </w:r>
    </w:p>
    <w:p>
      <w:r>
        <w:rPr>
          <w:b/>
        </w:rPr>
        <w:t>E. 10</w:t>
      </w:r>
    </w:p>
    <w:p>
      <w:r>
        <w:t>La recourante fait grief à l’autorité intimée d’avoir violé la LPAC et le MIOPE en ne lui tenant pas un discours « clair et sans équivoque sur la fin de son contrat de travail. Comme susmentionné, cette allégation est contraire aux pièces du dossier. La recourante devait savoir, par son statut et les documents contractuels, que la fin de son contrat était fixée au plus tard au 14 juillet 2022. Un rappel de ce terme lui a par ailleurs été envoyé cinq mois avant l’échéance, soit suffisamment à l’avance pour qu’elle puisse prendre ses dispositions.</w:t>
      </w:r>
    </w:p>
    <w:p>
      <w:r>
        <w:rPr>
          <w:b/>
        </w:rPr>
        <w:t>E. 11</w:t>
      </w:r>
    </w:p>
    <w:p>
      <w:r>
        <w:t>La recourante allègue que l’autorité intimée aurait violé l’interdiction de discrimination à raison de l’âge et du sexe. Il ressort des statistiques de la structure du personnel de l’OCIRT que les fonctions non permanentes sont occupées à 66,7 % par des personnes de moins de 35 ans et à 25% par des personnes de plus de 50 ans. De même, elles sont plus occupées par des hommes (10,8%) que par des femmes (5,7%), les fonctions permanentes étant aussi majoritairement féminines (82 femmes versus 58</w:t>
      </w:r>
    </w:p>
    <w:p>
      <w:r>
        <w:t>- 14/15 - A/3227/2022 hommes). Au vu des statistiques, il n’y a aucun indice de discrimination par l’OCIRT des femmes ou des personnes âgées. L’affirmation de la recourante selon laquelle la stabilisation d’un engagement est réservée aux collaborateurs les moins âgés et masculins est contredite par les statistiques produites qui témoignent de trois engagements en fixe après un statut d’auxiliaire en 2022, soit deux femmes et un homme, tous trois ayant entre 30 et 35 ans et d’un engagement prévu en 2023, d’un homme âgé de 60 ans. La recourante ne peut valablement soutenir dans sa réplique que les statistiques concernaient l’autorité intimée alors qu’elles auraient dû porter sur la PCTN. Cette argumentation n’est pas conforme aux conclusions qu’elle a prises dans son recours et à ses écritures. Pour le surplus, si les chiffres fournis concernent l’entier de l’OCIRT, les seules données de la PCTN seront sans pertinence vu le peu de cas concernés. S’il est compréhensible que l’ouverture du poste d’auxiliaire en mai 2022 pour un emploi identique à celui précédemment occupé par la recourante puisse la heurter, le procédé reste, dans le présent cas, conforme au droit, vu les recommandations spécifiques de la CdC. Vu ce qui précède, le recours sera rejeté.</w:t>
      </w:r>
    </w:p>
    <w:p>
      <w:r>
        <w:rPr>
          <w:b/>
        </w:rPr>
        <w:t>E. 12</w:t>
      </w:r>
    </w:p>
    <w:p>
      <w:r>
        <w:t>La procédure étant gratuite, il ne sera pas perçu d'émolument (art. 13 al. 5 LEg ; art. 87 al. 1 LPA) et aucune indemnité de procédure ne sera allouée vu l'issue du litige (art. 87 al. 2 LPA). Compte tenu des conclusions du recours, la valeur litigieuse est supérieure à CHF 15'000.- (art. 112 al. 1 let. d de la loi fédérale sur le Tribunal fédéral du</w:t>
      </w:r>
    </w:p>
    <w:p>
      <w:r>
        <w:rPr>
          <w:b/>
        </w:rPr>
        <w:t>E. 17</w:t>
      </w:r>
    </w:p>
    <w:p>
      <w:r>
        <w:t>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