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ATA/555/2024 vom 3. Mai 2024</w:t>
      </w:r>
    </w:p>
    <w:p>
      <w:r>
        <w:t>GE Cour de justice, 2024-05-03, FR</w:t>
      </w:r>
    </w:p>
    <w:p>
      <w:r>
        <w:rPr>
          <w:b/>
        </w:rPr>
        <w:t xml:space="preserve">Quelle: </w:t>
      </w:r>
      <w:r>
        <w:t>https://mcp.opencaselaw.ch/entscheid/ge_gerichte_ATA_555_2024</w:t>
      </w:r>
    </w:p>
    <w:p>
      <w:r>
        <w:t>FR: GE_GERICHTE ATA/555/2024 du 3 mai 2024</w:t>
      </w:r>
    </w:p>
    <w:p>
      <w:r>
        <w:t>IT: GE_GERICHTE ATA/555/2024 del 3 maggio 2024</w:t>
      </w:r>
    </w:p>
    <w:p>
      <w:pPr>
        <w:pStyle w:val="Heading2"/>
      </w:pPr>
      <w:r>
        <w:t>Erwägungen</w:t>
      </w:r>
    </w:p>
    <w:p>
      <w:r>
        <w:rPr>
          <w:b/>
        </w:rPr>
        <w:t>E. 1</w:t>
      </w:r>
    </w:p>
    <w:p>
      <w:r>
        <w:t>Interjeté en temps utile devant la juridiction compétente, le recours est recevable, étant précisé que le pli contenant l'acte de recours a été mis à La Poste suisse le 27 octobre 2023 (art. 132 de la loi sur l'organisation judiciaire du 26 septembre 2010 - LOJ - E 2 05 ; art. 62 al. 1 let. a de la loi sur la procédure administrative du 12 septembre 1985 - LPA E 5 10).</w:t>
      </w:r>
    </w:p>
    <w:p>
      <w:r>
        <w:rPr>
          <w:b/>
        </w:rPr>
        <w:t>E. 2</w:t>
      </w:r>
    </w:p>
    <w:p>
      <w:r>
        <w:t>Le litige porte sur la conformité au droit de l'amende de CHF 24'300.- infligée à la recourante pour avoir versé à deux employés domestiques des salaires inférieurs aux salaires minimaux prévus par le CTT-EDom. La recourante soutient qu'elle n'était partie à aucun contrat de travail avec les employés de feu son père.</w:t>
      </w:r>
    </w:p>
    <w:p>
      <w:r>
        <w:rPr>
          <w:b/>
        </w:rPr>
        <w:t>E. 2.1</w:t>
      </w:r>
    </w:p>
    <w:p>
      <w:r>
        <w:t>Selon l'art. 1er CO de la loi fédérale du 30 mars 1911, complétant le Code civil suisse (CO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w:t>
      </w:r>
    </w:p>
    <w:p>
      <w:r>
        <w:t>- 16/25 - A/3522/2023 elles n’étaient pas conscientes dès le début, il y a désaccord latent. Le contrat est alors conclu dans le sens objectif que l’on peut donner à leurs déclarations de volonté selon le principe de la confiance ; en pareil cas, l’accord est de droit (ou normatif) (ATF 144 III 93 consid. 5.2.1). Le Tribunal fédéral a eu l'occasion de rappeler dans un arrêt récent qu'il convenait en premier lieu de rechercher la réelle et commune volonté des parties, et en a rappelé les principes. En présence d'un litige sur l'interprétation d'un contrat, le juge doit tout d'abord s'efforcer de déterminer la réelle et commune intention des parties (arrêt du Tribunal fédéral 4A_156/2021 du 16 juillet 2021 ;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131 III 606 consid. 4.1).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ce qui ne ressort pas déjà du simple fait qu’elle l’affirme en procédure, mais doit résulter de l’administration des preuves-,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(ATF 144 III 93 consid. 5.2.3).</w:t>
      </w:r>
    </w:p>
    <w:p>
      <w:r>
        <w:rPr>
          <w:b/>
        </w:rPr>
        <w:t>E. 2.2</w:t>
      </w:r>
    </w:p>
    <w:p>
      <w:r>
        <w:t>Selon l'art. 1 al. 2 de la loi fédérale sur les conditions minimales de travail et de salaire applicables aux travailleurs détachés en Suisse et sur les mesures d'accompagnement du 8 octobre 1999 (LDét - RS 823.20), la notion de travailleur est définie par renvoi aux art. 319 ss CO (arrêt du Tribunal fédéral 2C_714/2010 du 14 décembre 2010 consid. 3.2 in fine ; ATA/894/2022 du 6 septembre 2022, consid. 6).</w:t>
      </w:r>
    </w:p>
    <w:p>
      <w:r>
        <w:rPr>
          <w:b/>
        </w:rPr>
        <w:t>E. 2.3</w:t>
      </w:r>
    </w:p>
    <w:p>
      <w:r>
        <w:t>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w:t>
      </w:r>
    </w:p>
    <w:p>
      <w:r>
        <w:t>- 17/25 - A/3522/2023 Tribunal fédéral 4A_53/2021 du 21 septembre 2021 consid. 5.1.3 ; 4A_64/2020 du</w:t>
      </w:r>
    </w:p>
    <w:p>
      <w:r>
        <w:rPr>
          <w:b/>
        </w:rPr>
        <w:t>E. 2.4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de l'élément essentiel du contrat de travail, à savoir le rapport de subordination. L'employé doit suivre les directives même lorsqu'elles sont inappropriées ou inefficaces parce qu'il n'a ni l'obligation, ni le droit d'en contrôler l'opportunité Rémy WYLER/Boris HEINZER, Droit du travail, 4e éd., 2019, p. 155). Ce pouvoir de direction est exercé par l’employeur lui-même, mais il peut être délégué en partie ou entièrement à un tiers (arrêt du Tribunal fédéral 4A_344/2015 du 10 décembre 2015 consid. 3.4).</w:t>
      </w:r>
    </w:p>
    <w:p>
      <w:r>
        <w:rPr>
          <w:b/>
        </w:rPr>
        <w:t>E. 2.5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(représentation de la connaissance). C'est ainsi que la question du consentement, comme condition d'existence d'un contrat, est jugée en fonction du représentant et non du représenté (Christine CHAPPUIS in Luc THÉVENOZ/Franz WERRO [éd.], Commentaire romand du code des obligations, 3e éd., 2021, n. 21 ad art. 32 CO).</w:t>
      </w:r>
    </w:p>
    <w:p>
      <w:r>
        <w:t>- 18/25 - A/3522/2023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2.6</w:t>
      </w:r>
    </w:p>
    <w:p>
      <w:r>
        <w:t>Selon l'art. 530 al. 1 CO, la société simple est un contrat par lequel deux ou plusieurs personnes conviennent d'unir leurs efforts ou leurs ressources en vue d'atteindre un but commun. Le but de la société simple peut être de conclure en commun un contrat;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4C.41/1999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arrêt du Tribunal fédéral 4C.41/1999 précité consid. 5b). Dans le domaine du travail domestique, la jurisprudence tant en matière administrative que civile a ainsi retenu la qualité d'employeuse d'une recourante qui donnait régulièrement à l'employée de maison de sa mère des instructions sur la manière d'effectuer son travail (ATA/894/2022 du 6 septembre 2022 consid. 6 ; C/18817/2022 CAPH/37/2024 du 15 avril 2024 consid. 3.2).</w:t>
      </w:r>
    </w:p>
    <w:p>
      <w:r>
        <w:rPr>
          <w:b/>
        </w:rPr>
        <w:t>E. 2.7</w:t>
      </w:r>
    </w:p>
    <w:p>
      <w:r>
        <w:t>En l'espèce, il n'est pas contesté que les employés domestiques auprès de feu B______ étaient liés chacun par un contrat de travail tacite. Reste à déterminer l'identité de la partie employeuse. L'OCIRT a considéré la recourante comme l'employeuse à la lumière de ses propres constatations. Cette qualification est rendue vraisemblable à l'examen des éléments du dossier. Il y ressort qu'elle a recruté et choisi C______ ainsi qu'D______ avec l'aide de son mari. Il n'est ni étayé ni démontré qu'ils auraient été recrutés par feu son père et qu'elle aurait été témoin de l'accord verbal entre celui-ci et le premier. Même s'il était exact que feu B______ avait participé à leur embauche, cela</w:t>
      </w:r>
    </w:p>
    <w:p>
      <w:r>
        <w:t>- 19/25 - A/3522/2023 n'emporterait aucune conséquence sur la détermination de sa qualité d'employeuse qui est, selon la jurisprudence précitée, principalement tributaire de l'existence d'un lien de subordination entre elle et les employés précités. En effet, les échanges de la messagerie WhatsApp versés au dossier et les déclarations concordantes des employés attestent de ce qu'elle planifiait, organisait et assurait un contrôle strict de la bonne exécution des tâches quotidiennes. Elle ne le conteste d’ailleurs pas totalement, puisqu'elle soutient avoir agi en qualité d'intermédiaire de son père. Or, elle n'a jamais indiqué aux employés intervenir en cette qualité. Au contraire, elle a réprimandé un employé qui s'était adressé à feu son père et non à elle pour entamer une négociation à la hausse de son salaire. Le fait qu'elle ait donné régulièrement des instructions aux employés même en présence de son défunt père sans expliquer de manière circonstanciée pourquoi celui-ci n'était pas capable de le faire lui-même alors qu'il parlait la même langue que les employés et qu'il disposait, en l'absence de preuves contraires, de la capacité de discernement s'accommode mal de son prétendu rôle d'intermédiaire. Le fait que l'un des employés a été condamné par ordonnance pénale ne change rien à ce qui précède, l’ordonnance, dont la recourante n’a produit que le dispositif, ne comportant pas d’éléments venant contredire les constats qui précèdent. Enfin, quand bien même il conviendrait de retenir un lien de subordination des employés à l'égard du défunt, il apparaît cependant à l'aune de l'ensemble des éléments sus-exposés, que ledit lien était tout aussi voire plus important avec la recourante qu’avec feu son père. Ainsi, peu importe, conformément à la jurisprudence précitée, que les salaires des employés aient été essentiellement payés avec les deniers du père de la recourante, le lien de subordination entre celle-ci et les employés devant être admis. 3. La recourante reproche à l’OCIRT d'avoir mal apprécié les horaires de travail des employés. 3.1 Selon le CTT-EDom, en vigueur dès 2016 et jusqu’à la fin des relations de travail des employés, sont considérés comme personnel de l'économie domestique, les travailleurs occupés dans un ménage privé (art. 1 CTT-EDom). La durée de leur semaine de travail est de 45 heures (art. 5 al. 1 CTT-EDom). 3.2 À teneur de l'art. 7 CTT-EDom, sont réputées heures supplémentaires les heures accomplies en sus du maximum quotidien ou hebdomadaire (al. 1). Les heures effectuées les dimanches et jours fériés ouvrent droit, au choix du travailleur, soit à une majoration de salaire de 50%, soit à un congé payé majoré de 50% (al. 2). 3.3 L’employeur tient un registre des heures de travail et des jours de repos effectifs. Le travailleur peut s’informer en tout temps sur ses heures de travail, jours de repos, jours fériés et vacances qui lui restent à prendre (art. 10bis al. 3 CTT- Edom). À défaut, l'enregistrement de la durée du travail fait par le travailleur vaut moyen de preuve en cas de litige (art. 10bis al. 4 CTT-Dom).</w:t>
      </w:r>
    </w:p>
    <w:p>
      <w:r>
        <w:t>- 20/25 - A/3522/2023 3.4 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CO. La recourante, au vu de ce qui précède, appartient à cette catégorie d’employeurs, est donc soumise au respect des dispositions précitées qui renvoient à celles du CTT-EDom. 3.5 Aux termes de l’art. 1 al. 2 CTT-EDom, ce dernier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3.6 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 3.7 L’art. 10 CTT-Edom, dans sa teneur applicable au moment des faits, concrétise l’obligation de l’employeur de verser les salaires minimaux à ses employés pour une durée hebdomadaire de 45 heures, étant précisé qu’en cas de travail partiel, le salaire minimum est calculé prorata temporis (art. 10 al. 7 CTT EDom). Les salaires minimaux s’élevaient, à partir du 1er janvier 2018, à CHF 3'801.- pour un employé non qualifié, à CHF 4485.- entre novembre et décembre 2020, à CHF 4'512.- à partir du 1er janvier 2021 et à CHF 4537.65, dès le 1er janvier 2022 pour les deux catégories de travailleurs, sans distinction.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w:t>
      </w:r>
    </w:p>
    <w:p>
      <w:r>
        <w:rPr>
          <w:b/>
        </w:rPr>
        <w:t>E. 6</w:t>
      </w:r>
    </w:p>
    <w:p>
      <w:r>
        <w:t>août 2020 consid. 6.1 ; 4A_10/2017 du 19 juillet 2017 consid. 3.1).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121 I 259 consid. 3a;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 ; 4A_10/2017 précité consid. 3.1).</w:t>
      </w:r>
    </w:p>
    <w:p>
      <w:r>
        <w:rPr>
          <w:b/>
        </w:rPr>
        <w:t>E. 10</w:t>
      </w:r>
    </w:p>
    <w:p>
      <w:r>
        <w:t>octobre 2022 que C______ devait accueillir chaque matin à 6h30 et chaque soir entre 18h et 18h30, au plus tard à 19h30, un infirmier ou une infirmière pour les soins à domicile, elle indique dans son recours que ceux-ci étaient dispensés trois fois par jour, soit à 7h00, 11h30 et 19h00. Ces soins durant en moyenne une heure, les trois heures ne devaient pas être comptées comme du temps de travail. Seules devaient être prises en compte les tâches dédiées à la préparation des repas, à l'assistance pour manger, à l'administration du ménage et des achats. Une telle argumentation ne convainc pas. C______ a déclaré qu'il se levait à 6h00 pour ouvrir la porte à l'infirmier ou l'infirmière, puis assurait une présence continue ponctuée de diverses tâches (petit-déjeuner, nettoyage, réchauffage des plats, remplacement des protections, achats alimentaires ou accompagnement) au service de feu B______ jusqu'à 21h00, heure à laquelle ce dernier se couchait. D______ a affirmé avoir assuré une présence effective continue auprès de feu B______ entre 7h00 et 20h30. Ce dernier, incontinent et dépendant, les sollicitait pour tout. Selon la recourante elle-même, la présence de tiers, à savoir précisément les employés domestiques au domicile de feu son père, était justifiée par le souci de ne pas le laisser seul pendant une longue durée en raison de son âge et de son état de santé. L'employé devait lui annoncer son absence afin qu'elle-même, son mari ou l'une de ses filles puisse le relayer auprès de son défunt père. Conformément à l'allègement des preuves prévu à l'art. 10bis al. 4 CTT-Dom et à l'aune de cet état de fait, il sera retenu que la présence continue des employés auprès de ce dernier était requise. On ne peut pas non plus exclure que C______ ait été parfois sollicité par feu B______ pendant le nuit, comme l'atteste un message du 4 juin 2021 dans lequel il demandait à la recourante combien d'heures il travaillait par jour et indiquait qu'il avait été sollicité par feu son père depuis 4h00 du matin. Quoi qu'en pense la recourante, outre les tâches dont l'exécution n'est pas contestée, le temps de présence continue des employés faisait partie du travail à effectuer. Peu importe que, selon l’allégation par ailleurs non prouvée de la recourante, une femme de ménage œuvrait également au domicile de son père. Vu ce qui précède, la fixation de la durée hebdomadaire de la durée du temps de travail à 63 heures pour l'un des employés et à 54 heures pour l'autre ne prête pas le flanc à la critique. Le montant de la sous-enchère salariale, d’au total CHF 166'709.80 brut, déterminé sur le base des heures de travail ainsi retenues, n’est en tant que tel pas contesté. Il</w:t>
      </w:r>
    </w:p>
    <w:p>
      <w:r>
        <w:t>- 22/25 - A/3522/2023 est au demeurant conforme aux horaires accomplis pendant la durée d’emploi des deux employés, aux salaires déjà perçus et aux pièces du dossier. 4. La recourante conteste tant le principe que la quotité de l'amende. 4.1 Selon l’art. 35 al. 3 de la loi sur l'inspection et les relations du travail du 12 mars 2004 (LIRT- J 1 05),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 4.2 Selon l’art. 39N LIRT, l'OCIRT peut prononcer une amende administrative de CHF 30'000.- au plus lorsqu'un employeur ne respecte pas le salaire minimum prévu à l'art. 39K LIRT. Ce montant de l'amende administrative peut être doublé en cas de récidive (al. 1). L'office peut également mettre les frais de contrôle à la charge de l'employeur (al. 2). 4.3 La LDét ne contient aucune précision concernant les principes afférents au prononcé d’une amende administrative et à sa quotité. Les règles générales en la matière peuvent ainsi s’appliquer, rien ne s’y opposant. 4.4 Les amendes administratives prévues par la législation cantonale sont de nature pénale. Leur quotité doit ainsi être fixée en tenant compte des principes généraux régissant le droit pénal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(ATA/651/2022 précité consid. 14f</w:t>
      </w:r>
    </w:p>
    <w:p>
      <w:r>
        <w:t>- 23/25 - A/3522/2023 et la référence citée). Sont pris en considération la nature, la gravité et la fréquence des infractions commises dans le respect du principe de proportionnalité (art. 5 al. 2 Cst. ; ATA/651/2022 précité consid. 14e et les arrêts cités). 4.5 De jurisprudence constante, l’administration doit faire preuve de sévérité afin d’assurer le respect de la loi et jouit d’un large pouvoir d’appréciation pour infliger une amende. La chambre administrative ne la censure qu’en cas d’excès ou d'abus (ATA/131/2023 du 7 février 2023 consid. 5d ; ATA/1253/20 du 13 décembre 2022 consid. 3b). 4.6 La chambre adminstrative a confirmé une amende de CHF 1'300.- pour une sous-enchère salariale de CHF 24'051.-, commise pendant dix mois, par un employeur dont la collaboration à l’instruction avait été excellente, qui avait procédé au rattrapage salarial et n’avait pas d’antécédents (ATA/1071/2023 du 28 septembre 2023 consid. 3.2). Elle a confirmé une amende de CHF 8'000.- portant sur une sous-enchère salariale de CHF 42'668.-, ayant duré plus d'un an et demi, dans le contexte d’une mauvaise collaboration et de l’absence de rattrapage salarial (ATA/521/2023 du 22 mai 2023 consid. 4.2). Dans une affaire dans laquelle la sous-enchère salariale avait duré quatre ans, été commise au préjudice de cinq employées, constituait la première infraction commise par l’intéressée et consacrait une faute moyenne de cette dernière relativisée par les circonstances, et où la collaboration avait été qualifiée de moyenne, la chambre administrative a réduit l'amende de CHF 28'000.- à CHF 14'000.- (ATA/894/2022 du 6 septembre 2022 consid. 9). 4.7 En l'espèce, l'autorité intimée a infligé à la recourante une amende de CHF 24'300.-. Mue par la volonté de réaliser des économies, la recourante s'est attachée à recruter les employés domestiques à l'étranger au mépris de la légalité, soit en particulier les normes protectrices des salaires minimaux et des dispositions relatives à l’exercice d’une activité lucrative exercée par une personne sans titre de séjour en Suisse. En dépit de la demande insistante de l'un des employés d'une augmentation de son salaire et de la régularisation de son statut administratif, ce choix a été maintenu jusqu'à ce que celui-ci décide de mettre fin à son activité. La sous-enchère salariale, de CHF 166'709.80, est importante. Malgré la demande de mise en conformité, la recourante n'a procédé ni au paiement des cotisations aux assurances sociales ni au versement, même partiel, du rattrapage salarial. Ces manquements peuvent être qualifiés de graves. L’OCIRT a tenu compte dans la fixation du montant de l'amende des circonstances « particulièrement » déplorables dans lesquelles la sous-enchère salariale a été pratiquée, à savoir notamment la vulnérabilité des employés due à l'irrégularité de leur statut administratif et les conditions de travail caractérisées par des taux de travail dépassant de loin la durée usuelle d'un plein temps, pour un salaire non déclaré aux assurances sociales et largement en-dessous des minima légaux. S'y</w:t>
      </w:r>
    </w:p>
    <w:p>
      <w:r>
        <w:t>- 24/25 - A/3522/2023 ajoute le fait que l'employeuse ne tenait pas de registre des heures de travail et des jours de repos effectifs. La collaboration de la recourante à l'établissement des faits a en outre – contrairement au cas qu’elle cite (ATA/894/2022) – été faible, celle-ci ne donnant pas entièrement suite aux demandes de renseignements, notamment en ne la renseignant pas sur la personne employée au domicile de feu son père avant C______ et D______, et en déclarant faussement qu'une femme de ménage était affectée au nettoyage de l'appartement de son père, alors que ce travail était effectué par les employés de maison. Au-delà de ces circonstances dont la prise en compte dans la fixation de l'amende contestée n'est pas critiquable, il convient encore de relever que la sous-enchère salariale de CHF 166'709.80 a duré trois années et demie et concernait deux employés. Il apparaît toutefois que, dans l’appréciation de l’ensemble des circonstances, l’OCIRT n’a pas tenu compte de la situation financière de la recourante. Celle-ci est, à teneur du dossier, bénéficiaire de prestations complémentaires familiales, étant cependant relevé qu’elle n’exploite pas sa capacité de gain, un revenu hypothétique lui ayant été imputé par le service des prestations complémentaires. En tant que ce critère d’appréciation n’a pas été pris en compte par l’OCIRT, celui-ci a fait preuve d'une sévérité excessive en arrêtant la quotité de l'amende à CHF 24'300.-. L’amende infligée sera ainsi réduite à CHF 15'000.-, montant plus conforme au principe de proportionnalité. Il tient dûment compte de la gravité de la faute de la recourante, qui n’a pas d'antécédent, et de sa situation financière. Le recours sera ainsi partiellement admis en tant que l’amende est réduite. Pour le surplus, il sera rejeté. 5. Malgré l'issue du litige, aucun émolument ne sera perçu, la recourante plaidant au bénéfice de l'assistance juridique (art. 87 al. 1 LPA et art. 13 al. 1 du règlement sur les frais, émoluments et indemnités en procédure administrative du 30 juillet 1986 - RFPA - E 5 10.03). Ayant obtenu très partiellement gain de cause, une indemnité réduite de procédure de CHF 300.- lui sera allouée, à la charge de l'OCIRT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