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ATA/555/2011 vom 30. August 2011</w:t>
      </w:r>
    </w:p>
    <w:p>
      <w:r>
        <w:t>GE Cour de justice, 2011-08-30, FR</w:t>
      </w:r>
    </w:p>
    <w:p>
      <w:r>
        <w:rPr>
          <w:b/>
        </w:rPr>
        <w:t xml:space="preserve">Quelle: </w:t>
      </w:r>
      <w:r>
        <w:t>https://mcp.opencaselaw.ch/entscheid/ge_gerichte_ATA_555_2011</w:t>
      </w:r>
    </w:p>
    <w:p>
      <w:r>
        <w:t>FR: GE_GERICHTE ATA/555/2011 du 30 août 2011</w:t>
      </w:r>
    </w:p>
    <w:p>
      <w:r>
        <w:t>IT: GE_GERICHTE ATA/555/2011 del 30 agosto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L'objet du litige est la révision de la décision de la CRUNI du 12 février 2008.</w:t>
      </w:r>
    </w:p>
    <w:p>
      <w:r>
        <w:rPr>
          <w:b/>
        </w:rPr>
        <w:t>E. 2</w:t>
      </w:r>
    </w:p>
    <w:p>
      <w:r>
        <w:t>Aux termes de l'art. 81 al. 1 de la loi sur la procédure administrative du 12 septembre 1985 (LPA - E 5 10), la demande de révision doit être adressée par écrit à la juridiction qui a rendu la décision dans les trois mois dès la découverte du motif de révision.</w:t>
      </w:r>
    </w:p>
    <w:p>
      <w:r>
        <w:rPr>
          <w:b/>
        </w:rPr>
        <w:t>E. 3</w:t>
      </w:r>
    </w:p>
    <w:p>
      <w:r>
        <w:t>La demande de révision a été adressée à la chambre administrative, qui a repris les attributions de la CRUNI, de sorte qu'il s'agit bien de la juridiction compétente.</w:t>
      </w:r>
    </w:p>
    <w:p>
      <w:r>
        <w:rPr>
          <w:b/>
        </w:rPr>
        <w:t>E. 4</w:t>
      </w:r>
    </w:p>
    <w:p>
      <w:r>
        <w:t>La demanderesse fonde son argumentation sur un courrier du 4 février 2010 dont la date de réception exacte n'est pas connue mais qui est antérieure au 28 avril 2010, date à laquelle l'intéressée dit l'avoir communiqué à la faculté, dans une démarche qu'elle qualifie de demande de reconsidération. Celle-ci n'est pas entrée en matière, pas plus que sur une opposition à ce refus que la demanderesse dit avoir fait début janvier 2011, la renvoyant à chaque fois aux décisions judiciaires en force.</w:t>
      </w:r>
    </w:p>
    <w:p>
      <w:r>
        <w:t>In casu, on ne saurait reprocher à l'université de ne pas avoir transmis les courriers - non produits par aucune des partie - de l'intéressée comme valant demande de révision à la juridiction de céans, ainsi qu'elle l'avait fait le 31 octobre 2008. En effet, dans l'arrêt consécutif à cette transmission, le Tribunal administratif avait clairement indiqué que la voie de révision de la décision de la CRUNI était la seule envisageable (ATA/60/2009). La demanderesse, assistée de surcroît par un conseil, savait donc pertinemment qu'elle devait adresser non pas une demande de reconsidération à l'autorité administrative mais une demande de révision à la juridiction qui avait rendu la dernière décision. Elle est dès lors mal venue de se prévaloir du principe de la bonne foi pour soutenir qu'elle ne devrait</w:t>
      </w:r>
    </w:p>
    <w:p>
      <w:r>
        <w:t>- 7/8 - A/1074/2011 pas être privée de l'examen au fond de sa requête parce qu'elle avait eu la volonté de faire primer la voie de la reconsidération.</w:t>
      </w:r>
    </w:p>
    <w:p>
      <w:r>
        <w:t>Déposée le 13 avril 2011, soit plus d'une année après la connaissance du motif allégué de révision, la demande est ainsi tardive et sera déclarée irrecevable.</w:t>
      </w:r>
    </w:p>
    <w:p>
      <w:r>
        <w:rPr>
          <w:b/>
        </w:rPr>
        <w:t>E. 5</w:t>
      </w:r>
    </w:p>
    <w:p>
      <w:r>
        <w:t>Vu l'issue du litige, un émolument de CHF 500.- sera mis à la charge de la demanderesse. Aucune indemnité de procédure ne sera allouée (art. 87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