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ATA/554/2018 vom 5. Juni 2018</w:t>
      </w:r>
    </w:p>
    <w:p>
      <w:r>
        <w:t>GE Cour de justice, 2018-06-05, FR</w:t>
      </w:r>
    </w:p>
    <w:p>
      <w:r>
        <w:rPr>
          <w:b/>
        </w:rPr>
        <w:t xml:space="preserve">Quelle: </w:t>
      </w:r>
      <w:r>
        <w:t>https://mcp.opencaselaw.ch/entscheid/ge_gerichte_ATA_554_2018</w:t>
      </w:r>
    </w:p>
    <w:p>
      <w:r>
        <w:t>FR: GE_GERICHTE ATA/554/2018 du 5 juin 2018</w:t>
      </w:r>
    </w:p>
    <w:p>
      <w:r>
        <w:t>IT: GE_GERICHTE ATA/554/2018 del 5 giugno 2018</w:t>
      </w:r>
    </w:p>
    <w:p>
      <w:pPr>
        <w:pStyle w:val="Heading2"/>
      </w:pPr>
      <w:r>
        <w:t>Erwägungen</w:t>
      </w:r>
    </w:p>
    <w:p>
      <w:r>
        <w:rPr>
          <w:b/>
        </w:rPr>
        <w:t>E. 12</w:t>
      </w:r>
    </w:p>
    <w:p>
      <w:r>
        <w:t>septembre 1985 - LPA - E 5 10). 2)</w:t>
      </w:r>
    </w:p>
    <w:p>
      <w:r>
        <w:t>En vertu de l'art. 8 de la loi sur les renseignements et les dossiers de police et la délivrance des certificats de bonne vie et mœurs du 29 septembre 1977 (LCBVM - F 1 25), quiconque justifie de son identité et satisfait aux exigences du chapitre IV de la loi peut requérir la délivrance d'un CBVM.</w:t>
      </w:r>
    </w:p>
    <w:p>
      <w:r>
        <w:t>- 4/7 - A/4715/2017</w:t>
      </w:r>
    </w:p>
    <w:p>
      <w:r>
        <w:t>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(ATA/1226/2017 du 22 août 2017 et les références citées).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3)</w:t>
      </w:r>
    </w:p>
    <w:p>
      <w:r>
        <w:t>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4) a.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w:t>
      </w:r>
    </w:p>
    <w:p>
      <w:r>
        <w:t>b. Celui qui tombe sous le coup de l’art. 10 al. 1 let. a LCBVM peut néanmoins recevoir un CBVM si la moitié de la durée déterminante pour l'élimination de l'inscription en vertu de l'art. 369 du Code pénal suisse du 21 décembre 1937 (CP - RS 311.0) est écoulée (art. 11 al. 1 LCBVM). Celui qui tombe sous le coup de l’art. 10 al. 1 let. b LCBVM peut recevoir un certificat de bonne vie et mœurs si dans les deux ans qui précèdent la demande, sa conduite n’a donné lieu à aucun fait pouvant porter atteinte à son honorabilité (art. 11 al. 2 LCBVM).</w:t>
      </w:r>
    </w:p>
    <w:p>
      <w:r>
        <w:t>Selon l’art. 369 al. 3 CP, les jugements qui prononcent une peine privative de liberté avec sursis, une privation de liberté avec sursis, une peine pécuniaire, un travail d'intérêt général ou une amende comme peine principale sont éliminés d'office après dix ans. 5)</w:t>
      </w:r>
    </w:p>
    <w:p>
      <w:r>
        <w:t>Dans l’ATA/648/2017 du 13 juin 2017, la chambre administrative a interprété la notion de « peine privative de liberté » contenue à l’art. 10 al. 1 let. a LCBVM, dont la formulation n’a pas été modifiée depuis l’entrée en vigueur, au</w:t>
      </w:r>
    </w:p>
    <w:p>
      <w:r>
        <w:t>- 5/7 - A/4715/2017 1er janvier 2007, de la nouvelle partie du CP (sous réserve de la suppression, le 27 janvier 2007 des termes « non radiée » après le mot « condamnation » – MGC 2006-2007/IA – 487), et qui avait été adopté alors que la peine privative de liberté était la peine centrale du CP. Elle a jugé que la peine pécuniaire, nouvelle peine centrale depuis cette révision, équivalait à une peine privative de liberté sous l’égide de l’ancienne partie générale du CP. Par conséquent, la condamnation d’une personne à une peine pécuniaire constituait un motif de lui refuser la délivrance d’un CBVM au sens de l’art. 10 al. 1 let. a LCBVM, à condition qu’il ne s’agisse pas d’une infraction de peu de gravité au sens de l’art. 10 al. 1 let. a 2ème phrase LCBVM (ATA/648/2017 précité consid. 7). 6) a. L'art. 10 al. 1 let. b LCBVM a été introduit dans le but de saisir les comportements relevant du droit pénal dès leur commission, et de permettre au commissaire de police d'en tenir compte avant la fin de l'instruction pénale et le prononcé judiciaire (Mémorial des séances du Grand Conseil de la République et canton de Genève, 1977/V, p. 4774). Celui qui a fait l'objet de plaintes, même si elles sont encore en cours d'instruction, peut ainsi faire l'objet d'un refus de délivrance d'un CBVM (ATA/648/2017 précité consid. 3 et les références citées).</w:t>
      </w:r>
    </w:p>
    <w:p>
      <w:r>
        <w:t>b.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l'alinéa 2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(ATA/648/2017 précité consid. 3 et les références citées). 7)</w:t>
      </w:r>
    </w:p>
    <w:p>
      <w:r>
        <w:t>En l’espèce, le recourant a été condamné à une peine pécuniaire prononcée moins de six mois avant la demande du CBVM, sanctionnant des infractions réalisées moins de deux ans avant cette date.</w:t>
      </w:r>
    </w:p>
    <w:p>
      <w:r>
        <w:t>Les faits qui lui sont reprochés ne peuvent être considérés comme étant de peu de gravité, eu égard aux circonstances.</w:t>
      </w:r>
    </w:p>
    <w:p>
      <w:r>
        <w:t>Concernant l’incident du mois de janvier 2016, les conditions dans lesquelles le recourant a circulé sur la terrasse d’un établissement public en y commettant des dégâts pendant la manœuvre, et cela sans s’en rendre compte, puis en quittant les lieux malgré les appels du personnel de l’hôtel sur place, enfin en refusant de répondre aux questions des gendarmes lorsqu’ils ont cherché à prendre contact avec lui peu après l’accident ne sont pas de peu de gravité. À ces</w:t>
      </w:r>
    </w:p>
    <w:p>
      <w:r>
        <w:t>- 6/7 - A/4715/2017 éléments s’ajoute l’incident du 25 juin 2017, qui, à lui seul, ne permettrait pas de refuser le certificat sollicité, mais qui s’additionne aux reproches liés à l’événement du 7 janvier 2016. En effet, même pendant les fêtes de la musique, il n’est pas admissible de laisser une buvette ouverte après les heures autorisées ni, alors qu’un contrôle de police est en cours, de tenter d’évacuer les personnes présentes par l’arrière, de refuser d’ouvrir la porte aux représentants des forces de l’ordre ainsi que de vociférer et de tenter d’échapper à la police. 8)</w:t>
      </w:r>
    </w:p>
    <w:p>
      <w:r>
        <w:t>Au vu de ce qui précède, le recours sera rejeté.</w:t>
      </w:r>
    </w:p>
    <w:p>
      <w:r>
        <w:t>Au vu de cette issue, un émolument de CHF 500.-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