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ATA/554/2017 vom 16. Mai 2017</w:t>
      </w:r>
    </w:p>
    <w:p>
      <w:r>
        <w:t>GE Cour de justice, 2017-05-16, FR</w:t>
      </w:r>
    </w:p>
    <w:p>
      <w:r>
        <w:rPr>
          <w:b/>
        </w:rPr>
        <w:t xml:space="preserve">Quelle: </w:t>
      </w:r>
      <w:r>
        <w:t>https://mcp.opencaselaw.ch/entscheid/ge_gerichte_ATA_554_2017</w:t>
      </w:r>
    </w:p>
    <w:p>
      <w:r>
        <w:t>FR: GE_GERICHTE ATA/554/2017 du 16 mai 2017</w:t>
      </w:r>
    </w:p>
    <w:p>
      <w:r>
        <w:t>IT: GE_GERICHTE ATA/554/2017 del 16 maggio 2017</w:t>
      </w:r>
    </w:p>
    <w:p>
      <w:pPr>
        <w:pStyle w:val="Heading2"/>
      </w:pPr>
      <w:r>
        <w:t>Regeste</w:t>
      </w:r>
    </w:p>
    <w:p>
      <w:r>
        <w:t>Résumé: Confirmation de l'indemnité pour tort moral de CHF 12'000.- allouée au recourant en raison du décès de sa fille cadette, âgée de 38 ans, tuée par son compagnon. Compte tenu du fait que les liens en question s'inscrivent dans le cadre de relations ordinaires entre un père et sa fille adulte menant chacun leur vie de leur côté, ainsi que de l'échelle prévue par le Conseil fédéral en cas de perte d'un enfant, le montant précité apparaît adapté aux circonstances du cas d'espèce. Rejet du recours.</w:t>
      </w:r>
    </w:p>
    <w:p>
      <w:pPr>
        <w:pStyle w:val="Heading2"/>
      </w:pPr>
      <w:r>
        <w:t>Erwägungen</w:t>
      </w:r>
    </w:p>
    <w:p>
      <w:r>
        <w:rPr>
          <w:b/>
        </w:rPr>
        <w:t>E. 12</w:t>
      </w:r>
    </w:p>
    <w:p>
      <w:r>
        <w:t>septembre 1985 - LPA - E 5 10). 2)</w:t>
      </w:r>
    </w:p>
    <w:p>
      <w:r>
        <w:t>Le litige porte sur la conformité au droit de l'ordonnance de l’instance LAVI accordant au recourant une indemnité pour tort moral réduite à CHF 12'000.- à la suite du décès de sa fille le 16 mai 2013. 3)</w:t>
      </w:r>
    </w:p>
    <w:p>
      <w:r>
        <w:t>Entrée en vigueur le 1er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entrée en vigueur le 1er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(ci-après : FF 2005 6683). L’instance LAVI statue sur les demandes d’indemnisation au sens des art. 19 à 29 LAVI (art. 14 al. 1 LaLAVI).</w:t>
      </w:r>
    </w:p>
    <w:p>
      <w:r>
        <w:t>- 5/8 - A/3395/2016 4)</w:t>
      </w:r>
    </w:p>
    <w:p>
      <w:r>
        <w:t>Selon l'art. 1 al. 2 LAVI, le conjoint, les enfants et les père et mère de la victime ainsi que les autres personnes unies à elle par des liens analogues (proches), ont également droit à l’aide aux victimes.</w:t>
      </w:r>
    </w:p>
    <w:p>
      <w:r>
        <w:t>En l'espèce, feu Mme B______, fille du recourant, a été tuée par M. C______. La qualité de proche du recourant, au sens de la LAVI, est établie et non contestée.</w:t>
      </w:r>
    </w:p>
    <w:p>
      <w:r>
        <w:t>Il est aussi avéré que l'auteur des faits n'est pas en mesure de s'acquitter des montants auxquels il a été condamné par le Tribunal criminel. 5)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w:t>
      </w:r>
    </w:p>
    <w:p>
      <w:r>
        <w:t>b. Dès lors, un proche ne peut faire valoir de droit à l'octroi d'une réparation morale que s'il pourrait faire valoir des prétentions civiles contre l'auteur de l'infraction en vertu des art. 47 ou 49 CO (arrêt du Tribunal fédéral 1A_208/2002 du 12 juin 2003 consid. 3.1).</w:t>
      </w:r>
    </w:p>
    <w:p>
      <w:r>
        <w:t>La réparation morale constitue désormais un droit (FF 2005 6683 p. 6742). 6)</w:t>
      </w:r>
    </w:p>
    <w:p>
      <w:r>
        <w:t>En vertu de l’art. 23 LAVI, le montant de la réparation morale est fixé en fonction de la gravité de l’atteinte. Il ne peut excéder CHF 35'000.-, lorsque l’ayant-droit est un proche (art. 23 al. 2 let. b LAVI). 7) a. Le système d'indemnisation du tort moral prévu par la LAVI – ainsi que par ailleurs pour celui du dommage – financé par la collectivité publique, n'en demeure pas moins subsidiaire par rapport aux autres possibilités d'obtenir réparation dont la victime dispose déjà (art. 4 LAVI ; ATF 131 II 121 consid. 2 ; FF 2005 6683 p. 6724). Il répond à l'idée d'une prestation d'assistance et non pas à celle d'une responsabilité de l'État. La jurisprudence a ainsi rappelé que l'utilisation des critères du droit privé est en principe justifiée, mais que l'instance LAVI peut au besoin s'en écarter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Code des obligations se distinguant aussi bien quant à leur débiteur que par leur nature juridique, il peut en résulter des différences sur le principe et l'ampleur de l'indemnité (arrêt du Tribunal fédéral 1A.299/2000 du 30 mai 2011 consid. 2b et 3b.).</w:t>
      </w:r>
    </w:p>
    <w:p>
      <w:r>
        <w:t>- 6/8 - A/3395/2016</w:t>
      </w:r>
    </w:p>
    <w:p>
      <w:r>
        <w:t>b.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S’il s’inspire de certains précédents, il veillera à les adapter aux circonstances actuelles (ATF 137 III 303 consid. 2.2.2 ; ATF 130 III 699 consid. 5.1 ; ATF 118 II 410). 8) a. La LAVI prévoit un plafonnement des indemnisations pour tort moral, laissant une large liberté d'appréciation au juge pour déterminer une somme équitable dans les limites de ce cadre (ATF 117 II 60 ; ATF 116 II 299 consid. 5.a).</w:t>
      </w:r>
    </w:p>
    <w:p>
      <w:r>
        <w:t>b. Selon le Conseil fédéral (FF 2005 6683 pp. 6745, 6746), pour les infractions commises dès le 1er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Outre la gravité de la souffrance éprouvée par les proches, le Tribunal fédéral prend en considération notamment les circonstances du décès (arrêt du Tribunal fédéral 1A_169/2001 du 7 février 2002 consid. 5.2).</w:t>
      </w:r>
    </w:p>
    <w:p>
      <w:r>
        <w:t>Le Conseil fédéral a proposé un ordre de grandeur qui, pour les proches d'une victime, prévoit les montants suivants : CHF 25'000.- à CHF 35'000.- pour un proche qui a très considérablement réaménagé sa vie pour s'occuper de la victime ; CHF 20'000.- à CHF 30'000.- pour la perte du conjoint ou partenaire ; CHF 10'000.- à CHF 20'000.- pour la perte d'un enfant ; CHF 8'000.- à CHF 18'000.- pour la perte du père ou de la mère, CHF 0.- à CHF 8'000.- pour la perte d'un frère ou d'une sœur; en tenant compte de critères tels que l'existence d'un ménage commun, l'intensité des liens, l'âge de la victime et de l'enfant. Ces montants sont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d'octobre 2008 (ci-après : le guide). Ces directives ne sauraient certes lier les autorités</w:t>
      </w:r>
    </w:p>
    <w:p>
      <w:r>
        <w:t>- 7/8 - A/3395/2016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9)</w:t>
      </w:r>
    </w:p>
    <w:p>
      <w:r>
        <w:t>Selon ses déclarations au cours de la procédure pénale relative au meurtre de sa fille, alors âgée de trente-huit ans, le recourant n’était pas en conflit avec sa fille et la voyait une à deux fois par semaine, celle-ci le contactant occasionnellement en cas de nécessité. Toutefois celle-ci était également suivie par une psychologue et curatrice privée, à laquelle il revenait de gérer ses finances. Ainsi, si la défunte vivait à proximité géographique de son père, il n'en demeure pas moins qu'elle menait sa vie de manière indépendante. Le sentiment de protection qu'elle pouvait ressentir aux côtés de son père n'apparaît ainsi pas inhabituel, voire comme étant plus intense que celui liant d’ordinaire parents et enfants. Finalement, si douloureuse soit-elle, la situation du recourant ne saurait être assimilée à celle d'un parent souffrant de la perte d'un jeune enfant ou en charge d’un enfant gravement atteint par les actes de l’auteur des infractions.</w:t>
      </w:r>
    </w:p>
    <w:p>
      <w:r>
        <w:t>Dans ce contexte, c'est à bon droit que l'instance LAVI a retenu que les liens unissant le recourant et la défunte s'inscrivaient dans le cadre de relations ordinaires entre un père et sa fille adulte menant chacun leur vie de leur côté et qu'il a calculé le montant de la réparation pour tort moral en fonction de cela.</w:t>
      </w:r>
    </w:p>
    <w:p>
      <w:r>
        <w:t>Compte tenu de ces éléments et de l'échelle prévue par le Conseil fédéral en cas de perte d'un enfant, le montant de CHF 12'000.- apparaît adapté aux circonstances du cas d'espèce. 10) En conséquence, l'indemnité allouée au recourant à titre de tort moral est conforme à la loi et à la jurisprudence. 11) Au vu de ce qui précède, le recours sera rejeté et l'ordonnance attaquée confirmée. 12) Aucun émolument ne sera mis à charge du recourant, la procédure étant gratuite (art. 30 al. 1 LAVI et 87 al. 1 LPA). Vu l'issue du litige, aucune indemnité de procédure ne sera allouée (art. 87 al. 2 LPA). 13) Il est rappelé qu’en vertu de l’art. 7 LAVI, le canton de Genève est subrogé à concurrence du montant versé dans les prétentions que les ayants-droits peuvent faire valoir en raison de l’infraction. * * * * *</w:t>
      </w:r>
    </w:p>
    <w:p>
      <w:r>
        <w:t>- 8/8 - A/3395/2016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