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ATA/554/2012 vom 21. August 2012</w:t>
      </w:r>
    </w:p>
    <w:p>
      <w:r>
        <w:t>GE Cour de justice, 2012-08-21, FR</w:t>
      </w:r>
    </w:p>
    <w:p>
      <w:r>
        <w:rPr>
          <w:b/>
        </w:rPr>
        <w:t xml:space="preserve">Quelle: </w:t>
      </w:r>
      <w:r>
        <w:t>https://mcp.opencaselaw.ch/entscheid/ge_gerichte_ATA_554_2012</w:t>
      </w:r>
    </w:p>
    <w:p>
      <w:r>
        <w:t>FR: GE_GERICHTE ATA/554/2012 du 21 août 2012</w:t>
      </w:r>
    </w:p>
    <w:p>
      <w:r>
        <w:t>IT: GE_GERICHTE ATA/554/2012 del 21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Il est constant que l’AFC n’envoie pas par pli recommandé les bordereaux de taxation et qu’il en est ainsi même pour les taxations d’office.</w:t>
      </w:r>
    </w:p>
    <w:p>
      <w:r>
        <w:t>En l’espèce, lesdits bordereaux sont datés du 29 avril 2011. M. T______ ne conteste pas les avoir reçus, mais indique lui-même ne s'être déplacé à l’AFC que le 8 août 2011 et n’avoir élevé réclamation par le biais d’une nouvelle fiduciaire que le 17 août 2011. Il serait fait fond sur ses déclarations.</w:t>
      </w:r>
    </w:p>
    <w:p>
      <w:r>
        <w:rPr>
          <w:b/>
        </w:rPr>
        <w:t>E. 3</w:t>
      </w:r>
    </w:p>
    <w:p>
      <w:r>
        <w:t>Dès lors, l’AFC ne pouvait que déclarer irrecevable la réclamation pour l’ICC et l’IFD en application respectivement des art. 41 al. 3 de la loi de procédure fiscale du 4 octobre 2001 (LPFisc - D 3 17) et 132 al. 3 de la loi fédérale sur l’impôt fédéral direct du 14 décembre 1990 (LIFD - RS 642.11), la réclamation en question ayant été faite au-delà du délai de trente jours dès réception des bordereaux de taxation d’office. Il en résulte que la réclamation étant tardive, le recours, recevable, ne peut qu’être rejeté sans qu’il y ait lieu d’entrer en matière sur le fond du litige. En effet, les délais de réclamation et de recours fixés par la loi sont des dispositions impératives de droit public. Ils ne sont, en principe, pas susceptibles d’être prolongés (art. 16 al. 1 LPA), restitués ou suspendus, si ce n’est par le législateur lui-même (SJ 1989 418). Celui qui n’agit pas dans le délai prescrit est forclos et la décision en cause acquiert force obligatoire (ATA /389/2012 du 19 juin 2012 ; ATA/384/2012 du 8 mai 2012 ; ATA/50/2009 du 27 janvier 2009 ; T. TANQUEREL, Manuel de droit administratif 2011, p. 443 ; SJ 2000 I 22 consid. 2 p. 24).</w:t>
      </w:r>
    </w:p>
    <w:p>
      <w:r>
        <w:rPr>
          <w:b/>
        </w:rPr>
        <w:t>E. 4</w:t>
      </w:r>
    </w:p>
    <w:p>
      <w:r>
        <w:t>Selon l’art. 41 al. 3 LPFisc,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- 5/6 - A/3160/2011</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2B.259/2006 du 18 avril 2007 consid. 3.2 et la jurisprudence citée). Celui-ci peut résulter d’une impossibilité objective ou subjective. Il doit être de nature telle que le respect des délais aurait exigé la prise de dispositions que l’on ne peut raisonnablement attendre de la part d’un homme d’affaires avisé (ATA/38/2011 du 25 janvier 2011).</w:t>
      </w:r>
    </w:p>
    <w:p>
      <w:r>
        <w:t>En l’espèce, M. T______ ne se prévaut d’aucun empêchement tel que décrit par l’art. 41 al. 3 LPFisc. Il n’existe ainsi pas de motifs qui auraient permis une restitution de délai ou d’autoriser une réclamation tardive étant entendu que la maladie doit frapper la personne du contribuable et non pas son mandataire.</w:t>
      </w:r>
    </w:p>
    <w:p>
      <w:r>
        <w:rPr>
          <w:b/>
        </w:rPr>
        <w:t>E. 5</w:t>
      </w:r>
    </w:p>
    <w:p>
      <w:r>
        <w:t>Selon une jurisprudence constante, le contribuable demeure responsable de la faute ou du manquement du mandataire qu’il a choisi (ATA/749/2010 du 2 novembre 2010 ; ATA/296/2010 du 4 mai 2010). Le fait que Mme D______ ait admis ses manquements en raison de sa propre maladie, selon une attestation datée du 18 juin 2012, n’y change rien.</w:t>
      </w:r>
    </w:p>
    <w:p>
      <w:r>
        <w:rPr>
          <w:b/>
        </w:rPr>
        <w:t>E. 6</w:t>
      </w:r>
    </w:p>
    <w:p>
      <w:r>
        <w:t>Quant aux cas cités, de manière anonyme, par le recourant au titre de l’égalité de traitement de deux connaissances qui auraient bénéficié de la part de l’AFC d’une attitude différente, ils ne peuvent être pris en considération, l’allégué en question n’étant pas documenté.</w:t>
      </w:r>
    </w:p>
    <w:p>
      <w:r>
        <w:rPr>
          <w:b/>
        </w:rPr>
        <w:t>E. 7</w:t>
      </w:r>
    </w:p>
    <w:p>
      <w:r>
        <w:t>En tous points mal fondé, le recours sera rejeté. Un émolument de CHF 500.- sera mis à la charge de M. T______.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