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ATA/553/2018 vom 5. Juni 2018</w:t>
      </w:r>
    </w:p>
    <w:p>
      <w:r>
        <w:t>GE Cour de justice, 2018-06-05, FR</w:t>
      </w:r>
    </w:p>
    <w:p>
      <w:r>
        <w:rPr>
          <w:b/>
        </w:rPr>
        <w:t xml:space="preserve">Quelle: </w:t>
      </w:r>
      <w:r>
        <w:t>https://mcp.opencaselaw.ch/entscheid/ge_gerichte_ATA_553_2018</w:t>
      </w:r>
    </w:p>
    <w:p>
      <w:r>
        <w:t>FR: GE_GERICHTE ATA/553/2018 du 5 juin 2018</w:t>
      </w:r>
    </w:p>
    <w:p>
      <w:r>
        <w:t>IT: GE_GERICHTE ATA/553/2018 del 5 giugno 2018</w:t>
      </w:r>
    </w:p>
    <w:p>
      <w:pPr>
        <w:pStyle w:val="Heading2"/>
      </w:pPr>
      <w:r>
        <w:t>Erwägungen</w:t>
      </w:r>
    </w:p>
    <w:p>
      <w:r>
        <w:rPr>
          <w:b/>
        </w:rPr>
        <w:t>E. 1</w:t>
      </w:r>
    </w:p>
    <w:p>
      <w:r>
        <w:t>a.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t>b.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(ATA/770/2015 du 28 juillet 2015 ; ATA/958/2014 du 2 décembre 2014 ; ATA/754/2014 du 23 septembre 2014 ; ATA/427/2014 du 12 juin 2014).</w:t>
      </w:r>
    </w:p>
    <w:p>
      <w:r>
        <w:t>En l’espèce, la recourante, agissant alors en personne, n’a pas pris initialement de conclusions formelles en annulation de la décision de l’autorité intimée. L’on comprend toutefois de son acte de recours qu’elle demande matériellement l’annulation de la décision. Il en résulte que le recours est recevable sous cet angle également.</w:t>
      </w:r>
    </w:p>
    <w:p>
      <w:r>
        <w:rPr>
          <w:b/>
        </w:rPr>
        <w:t>E. 2</w:t>
      </w:r>
    </w:p>
    <w:p>
      <w:r>
        <w:t>En l’espèce, l’OCIRT reproche à la recourante une violation de son obligation de renseigner.</w:t>
      </w:r>
    </w:p>
    <w:p>
      <w:r>
        <w:rPr>
          <w:b/>
        </w:rPr>
        <w:t>E. 3</w:t>
      </w:r>
    </w:p>
    <w:p>
      <w:r>
        <w:t>a. Les conditions minimales de travail et de salaire applicables aux travailleurs détachés pendant une période limitée en Suisse par un employeur ayant son domicile ou son siège à l’étranger sont réglées par la loi fédérale sur les conditions minimales de travail et de salaire applicables aux travailleurs détachés en Suisse et</w:t>
      </w:r>
    </w:p>
    <w:p>
      <w:r>
        <w:t>- 5/7 - A/4489/2017 sur les mesures d'accompagnement du 8 octobre 1999 (Ldét - RS 823.20 - art. 1 al. 1 LDét).</w:t>
      </w:r>
    </w:p>
    <w:p>
      <w:r>
        <w:t>b. L’employeur est tenu de remettre aux organes compétents qui les demandent tous les documents attestant du respect des conditions de travail et de salaire des travailleurs détachés (art. 7 al. 2 LDét).</w:t>
      </w:r>
    </w:p>
    <w:p>
      <w:r>
        <w:t>c. L’OCIRT est l’autorité cantonale compétente au sens de la LDét (art. 35 de la loi sur l'inspection et les relations du travail du 12 mars 2004 - LIRT - J 1 05), la commission paritaire étant chargée du contrôle des dispositions prévues par la CCT (art. 7 al. 1 let. a LDét).</w:t>
      </w:r>
    </w:p>
    <w:p>
      <w:r>
        <w:rPr>
          <w:b/>
        </w:rPr>
        <w:t>E. 4</w:t>
      </w:r>
    </w:p>
    <w:p>
      <w:r>
        <w:t>En l’espèce, la recourante n’a pas fourni – si ce n’est dans le cadre de la présente procédure − à la commission paritaire puis à l’OCIRT après la transmission du dossier, les renseignements permettant à ces autorités de vérifier le respect des conditions de travail et de salaire des travailleurs détachés.</w:t>
      </w:r>
    </w:p>
    <w:p>
      <w:r>
        <w:t>De fait, la recourante a empêché les autorités chargées de l’application de la LDét d’effectuer leur contrôle, violant clairement l’art. 7 al. 2 LDét. À cet égard, la remise tardive de documents n’est pas susceptible de modifier cette conclusion, la violation de l’obligation de renseigner ayant déjà été commise et la question de savoir si l’employeur a également violé les conditions de travail et de salaire des travailleurs détachés ou non est exorbitante au litige.</w:t>
      </w:r>
    </w:p>
    <w:p>
      <w:r>
        <w:t>L’entreprise ayant violé l’obligation qui lui incombait, la sanction est justifiée dans son principe.</w:t>
      </w:r>
    </w:p>
    <w:p>
      <w:r>
        <w:rPr>
          <w:b/>
        </w:rPr>
        <w:t>E. 5</w:t>
      </w:r>
    </w:p>
    <w:p>
      <w:r>
        <w:t>a. Sera puni d’une amende de CHF 40'000.- au plus, à moins qu’il ne s’agisse d’un délit pour lequel le code pénal prévoit une peine plus lourde, quiconque en violation de l’obligation de renseigner, aura donné sciemment des renseignements inexacts ou aura refusé de donner des renseignements (art. 12 al. 1 let. a LDét).</w:t>
      </w:r>
    </w:p>
    <w:p>
      <w:r>
        <w:t>b. L’OCIRT peut interdire à l’entreprise concernée d’offrir ses services en Suisse pour une période d’un à cinq ans lorsqu’elle commet une infraction visée à l’art 12 al. 1 LDét (art. 9 al. 2 let. b LDét ; art. 35 al. 1 LIRT).</w:t>
      </w:r>
    </w:p>
    <w:p>
      <w:r>
        <w:rPr>
          <w:b/>
        </w:rPr>
        <w:t>E. 6</w:t>
      </w:r>
    </w:p>
    <w:p>
      <w:r>
        <w:t>L’autorité qui prononce une mesure administrative ayant le caractère d’une sanction doit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w:t>
      </w:r>
    </w:p>
    <w:p>
      <w:r>
        <w:t>- 6/7 - A/4489/2017 personnelle et des circonstances extérieures (art. 47 al. 2 CP ; ATA/74/2013 précité).</w:t>
      </w:r>
    </w:p>
    <w:p>
      <w:r>
        <w:t>En l’espèce, l’infraction commise par la recourante est d’une gravité relative : elle ne concerne qu’un travailleur sur une durée de quelques jours, dont les conditions de travail n’ont pas pu être contrôlées et dont le détachement avait été annoncé. Les demandes de renseignements ont été faites à deux reprises et un avis comminatoires a été notifié à la recourante.</w:t>
      </w:r>
    </w:p>
    <w:p>
      <w:r>
        <w:t>Dans ces circonstances, en prononçant une interdiction correspondant à moins de la moitié du maximum prévu par la loi, même sans infliger d’amende, l’autorité a abusé de son pouvoir d’appréciation, et la sanction apparaît disproportionnée.</w:t>
      </w:r>
    </w:p>
    <w:p>
      <w:r>
        <w:t>En conséquence, le recours sera partiellement admis. La décision sera confirmée dans son principe, mais la durée de la sanction sera diminuée au minimum, soit un an.</w:t>
      </w:r>
    </w:p>
    <w:p>
      <w:r>
        <w:t>Vu l’issue du litige, un émolument réduit, de CHF 500.-, sera mis à la charge de la recourante (art. 87 al. 1 LPA), et une indemnité de procédure de CHF 1000.-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