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ATA/553/2017 vom 16. Mai 2017</w:t>
      </w:r>
    </w:p>
    <w:p>
      <w:r>
        <w:t>GE Cour de justice, 2017-05-16, FR</w:t>
      </w:r>
    </w:p>
    <w:p>
      <w:r>
        <w:rPr>
          <w:b/>
        </w:rPr>
        <w:t xml:space="preserve">Quelle: </w:t>
      </w:r>
      <w:r>
        <w:t>https://mcp.opencaselaw.ch/entscheid/ge_gerichte_ATA_553_2017</w:t>
      </w:r>
    </w:p>
    <w:p>
      <w:r>
        <w:t>FR: GE_GERICHTE ATA/553/2017 du 16 mai 2017</w:t>
      </w:r>
    </w:p>
    <w:p>
      <w:r>
        <w:t>IT: GE_GERICHTE ATA/553/2017 del 16 maggio 2017</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w:t>
      </w:r>
    </w:p>
    <w:p>
      <w:r>
        <w:t>- 6/11 - A/676/2016 3)</w:t>
      </w:r>
    </w:p>
    <w:p>
      <w:r>
        <w:t>Le litige a pour objet le refus de l’OCPM d’entrer en matière sur la délivrance au recourant d’un permis de séjour hors contingent pour cas d’extrême gravité au sens de l’art. 30 al. 1 let. b LEtr et le prononcé de son renvoi de Suisse. 4)</w:t>
      </w:r>
    </w:p>
    <w:p>
      <w:r>
        <w:t>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SEM, p. 223 ch. 5.6.4). 5) a.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SEM, p. 213 ch. 5.6.1).</w:t>
      </w:r>
    </w:p>
    <w:p>
      <w:r>
        <w:t>c.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1er mars 2016). Toutefois, des circonstances générales affectant l’ensemble de la population restée sur place, en lien avec la situation économique, sociale, sanitaire ou scolaire du pays en question et auxquelles le requérant serait également exposé à son retour,</w:t>
      </w:r>
    </w:p>
    <w:p>
      <w:r>
        <w:t>- 7/11 - A/676/2016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w:t>
      </w:r>
    </w:p>
    <w:p>
      <w:r>
        <w:t>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w:t>
      </w:r>
    </w:p>
    <w:p>
      <w:r>
        <w:t>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précité consid. 3e ; ATA/823/2015 du 11 août 2015 consid. 7).</w:t>
      </w:r>
    </w:p>
    <w:p>
      <w:r>
        <w:t>e. En l’occurrence, le recourant affirme être en Suisse sans discontinuer depuis 2002. Cette affirmation est sujette à caution dans la mesure où il a fait l’objet</w:t>
      </w:r>
    </w:p>
    <w:p>
      <w:r>
        <w:t>- 8/11 - A/676/2016 d’une interdiction d’entrer en Suisse en 2003, valable jusqu’en 2005, ce qu’il ne conteste pas. Cela explique qu’ayant quitté la Suisse après la notification de cette décision, il ne lui soit pas possible de justifier de sa présence dans ce pays avant 2006 parce qu’il y n’a pas séjourné en exécution de cette mesure. Cela signifie également qu’il est revenu en Suisse en sachant que par-là, il contrevenait à nouveau à la réglementation helvétique sur le séjour des étrangers.</w:t>
      </w:r>
    </w:p>
    <w:p>
      <w:r>
        <w:t>Ces éléments étant rappelés, en application de la jurisprudence citée ci-dessus, la durée de son séjour, du fait de son illégalité, doit être relativisée. S’il doit être admis que le recourant a toujours subvenu à ses besoins en travaillant au sein d’entreprises genevoises, son intégration professionnelle n’est pas si intense, au sens spécifique donné par la jurisprudence appliquant l’art. 30 al. 1 let. b LEtr, qu’un retour au Kosovo ne puisse être exigé de lui en raison des conséquences que cela impliquerait pour lui en raison de l’impossibilité d’y mettre en œuvre les compétences et l’expérience qu’il a acquises en Suisse. En outre, dans la mesure où sa famille proche vit encore au Kosovo, il n’y a pas à lui reconnaître un degré d’intégration rendant inadmissible de lui refuser un statut légal en Suisse, la situation de santé de l’un ou l’autre de ses enfants au Kosovo n’ayant pas à être prise en considération dans ce cadre.</w:t>
      </w:r>
    </w:p>
    <w:p>
      <w:r>
        <w:t>C’est donc de manière conforme au droit que l’OCPM, puis le TAPI ont considéré que la situation du recourant ne remplissait pas les conditions restrictives autorisant la délivrance d’un permis pour cas de rigueur personnelle. 6)</w:t>
      </w:r>
    </w:p>
    <w:p>
      <w:r>
        <w:t>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le refus d’accorder un permis au recourant implique, dès lors que celui-ci réside déjà en Suisse, le prononcé de son renvoi en application de l’art. 64 al. 1 let. c LEtr. Ce renvoi est possible au sens de l’art. 83 LEtr, le recourant n’invoquant aucun motif devant conduire à retenir un autre constat, cette possibilité étant au demeurant démontrée par les voyages que celui-ci effectue fréquemment au Kosovo pour y retrouver sa famille.</w:t>
      </w:r>
    </w:p>
    <w:p>
      <w:r>
        <w:t>- 9/11 - A/676/2016</w:t>
      </w:r>
    </w:p>
    <w:p>
      <w:r>
        <w:t>En tout point mal fondé, le recours sera rejeté. 7)</w:t>
      </w:r>
    </w:p>
    <w:p>
      <w:r>
        <w:t>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