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ATA/553/2013 vom 27. August 2013</w:t>
      </w:r>
    </w:p>
    <w:p>
      <w:r>
        <w:t>GE Cour de justice, 2013-08-27, FR</w:t>
      </w:r>
    </w:p>
    <w:p>
      <w:r>
        <w:rPr>
          <w:b/>
        </w:rPr>
        <w:t xml:space="preserve">Quelle: </w:t>
      </w:r>
      <w:r>
        <w:t>https://mcp.opencaselaw.ch/entscheid/ge_gerichte_ATA_553_2013</w:t>
      </w:r>
    </w:p>
    <w:p>
      <w:r>
        <w:t>FR: GE_GERICHTE ATA/553/2013 du 27 août 2013</w:t>
      </w:r>
    </w:p>
    <w:p>
      <w:r>
        <w:t>IT: GE_GERICHTE ATA/553/2013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la décision prise le 10 janvier 2012 par l’OCP, refusant de délivrer à M. Y______, à son épouse et à leur fille une autorisation de séjour pour cas de rigueur et leur fixant un délai au 10 avril 2012 pour quitter la Suisse.</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w:t>
      </w:r>
    </w:p>
    <w:p>
      <w:r>
        <w:t>- 5/10 - A/458/2012</w:t>
      </w:r>
    </w:p>
    <w:p>
      <w:r>
        <w:rPr>
          <w:b/>
        </w:rPr>
        <w:t>E. 4</w:t>
      </w:r>
    </w:p>
    <w:p>
      <w:r>
        <w:t>Le séjour en Suisse en vue d’y exercer une activité lucrative est soumis à autorisation (art. 11 et 18 ss LEtr). Cette dernière doit être requise auprès du canton de prise d’emploi (art. 11 al. 1 LEtr).</w:t>
      </w:r>
    </w:p>
    <w:p>
      <w:r>
        <w:t>Selon l’art. 30 al. 1 let. b LEtr, il est possible de déroger aux conditions d’admission d’un étranger en Suisse pour tenir compte d’un cas individuel d’extrême gravité.</w:t>
      </w:r>
    </w:p>
    <w:p>
      <w:r>
        <w:rPr>
          <w:b/>
        </w:rPr>
        <w:t>E. 5</w:t>
      </w:r>
    </w:p>
    <w:p>
      <w:r>
        <w:t>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rPr>
          <w:b/>
        </w:rPr>
        <w:t>E. 6</w:t>
      </w:r>
    </w:p>
    <w:p>
      <w:r>
        <w:t>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w:t>
      </w:r>
    </w:p>
    <w:p>
      <w:r>
        <w:rPr>
          <w:b/>
        </w:rPr>
        <w:t>E. 7</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w:t>
      </w:r>
    </w:p>
    <w:p>
      <w:r>
        <w:t>- 6/10 - A/458/2012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fédéral 2A.429/2003 du 26 novembre 2003 consid. 3 ; Arrêt du Tribunal administratif fédéral C-6628/2007 du 23 juillet 2009 consid. 5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w:t>
      </w:r>
    </w:p>
    <w:p>
      <w:r>
        <w:rPr>
          <w:b/>
        </w:rPr>
        <w:t>E. 8</w:t>
      </w:r>
    </w:p>
    <w:p>
      <w:r>
        <w:t>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w:t>
      </w:r>
    </w:p>
    <w:p>
      <w:r>
        <w:rPr>
          <w:b/>
        </w:rPr>
        <w:t>E. 9</w:t>
      </w:r>
    </w:p>
    <w:p>
      <w:r>
        <w:t>En l’espèce, non seulement les recourants ont tous deux séjourné à Genève sans être au bénéfice d’une autorisation de séjour pendant plusieurs années, mais ils se sont mariés le 15 mai 2009 à Genève. Or, l’interdiction d’entrée en Suisse, prononcée par l’ODM à l’encontre de M. Y______ le 2 novembre 2007, ne lui a été notifiée que le 20 juin 2009 mais elle était valable jusqu’au 1er novembre 2010. De plus, il a été interpellé le 9 juillet 2007, en situation irrégulière depuis son arrivée en Suisse le 9 décembre 2006 selon lui. Le recourant n’a pas allégué avoir recouru à l’encontre de celle-ci auprès Tribunal administratif fédéral. Les années de séjour en Suisse de chacun des recourants ne sauraient dès lors être prises en considération.</w:t>
      </w:r>
    </w:p>
    <w:p>
      <w:r>
        <w:t>- 7/10 - A/458/2012</w:t>
      </w:r>
    </w:p>
    <w:p>
      <w:r>
        <w:rPr>
          <w:b/>
        </w:rPr>
        <w:t>E. 10</w:t>
      </w:r>
    </w:p>
    <w:p>
      <w:r>
        <w:t>Il est établi et non contesté que l’un et l’autre des recourants a conservé dans son pays une nombreuse parenté, à l’entretien de laquelle ils subviennent dans la mesure de leurs moyens, puisqu’ils sont, de leur propre aveu, venus en Suisse uniquement pour des raisons économiques.</w:t>
      </w:r>
    </w:p>
    <w:p>
      <w:r>
        <w:rPr>
          <w:b/>
        </w:rPr>
        <w:t>E. 11</w:t>
      </w:r>
    </w:p>
    <w:p>
      <w:r>
        <w:t>Ils font surtout grief à l’OCP, puis au TAPI, d’avoir méconnu le fait qu’en cas de renvoi, l’un ou l’autre d’entre eux devrait s’exiler puisqu’ils sont originaires de deux pays différents. L’OCP et le TAPI n’ont pas méconnu cette situation, ni apprécié les faits d’une manière contraire au droit. La nationalité différente des recourants leur était connue, de sorte qu’ils devaient savoir qu’en cas d’impossibilité de rester en Suisse, ils devraient choisir un pays tiers dans lequel séjourner. D’ailleurs, une telle situation n’a rien d’exceptionnel et ne saurait en elle-même constituer un cas de rigueur (ATA/151/2012 du 20 mars 2012 concernant un ressortissant péruvien et sa concubine ressortissante d’Equateur). Ils exercent l’un et l’autre une activité lucrative dans une mesure particulièrement limitée. Cette intégration professionnelle n’est pas telle qu’ils ne pourraient pas s’intégrer ou se réintégrer dans l’un ou l’autre des pays dont ils sont originaires. De plus, et pour méritoires qu’ils soient, les efforts consentis pour s’intégrer en Suisse malgré le défaut de formation ou de statut administratif ne suffisent pas à admettre que leur situation serait plus rigoureuse que celle de la moyenne des étrangers appelés à quitter la Suisse au terme d’un séjour, autorisé ou non. En conséquence, force est de constater que les recourants ne se trouvent pas dans une situation d’extrême gravité au sens de l’art. 30 al. 1 let. b LEtr, sauf à vider de tout sens cette disposition légale.</w:t>
      </w:r>
    </w:p>
    <w:p>
      <w:r>
        <w:rPr>
          <w:b/>
        </w:rPr>
        <w:t>E. 12</w:t>
      </w:r>
    </w:p>
    <w:p>
      <w:r>
        <w:t>Aux termes de l’art. 64 al. 1 let. c LEtr, tout étranger dont l’autorisation est refusée, révoquée ou qui n’est pas prolongée après un séjour autorisé est renvoyé. La décision de renvoi est assortie d’un délai de départ raisonnable de sept à trente jours (art. 64d al. 1 LEtr).</w:t>
      </w:r>
    </w:p>
    <w:p>
      <w:r>
        <w:t>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(ATA/244/2012 du 24 avril 2012 ; ATA/750/2011 précité ; ATA/848/2010 du 30 novembre 2010).</w:t>
      </w:r>
    </w:p>
    <w:p>
      <w:r>
        <w:t>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- 8/10 - A/458/2012</w:t>
      </w:r>
    </w:p>
    <w:p>
      <w:r>
        <w:rPr>
          <w:b/>
        </w:rPr>
        <w:t>E. 13</w:t>
      </w:r>
    </w:p>
    <w:p>
      <w:r>
        <w:t>En l’espèce, les recourants n’ont jamais allégué que l’exécution du renvoi contreviendrait à l’art. 83 LEtr. Le dossier ne contient d’ailleurs aucun élément permettant de considérer que tel serait le cas.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(Arrêt du Tribunal administratif fédéral E-1719/2012 du 6 juin 2013 consid. 6.7).</w:t>
      </w:r>
    </w:p>
    <w:p>
      <w:r>
        <w:rPr>
          <w:b/>
        </w:rPr>
        <w:t>E. 14</w:t>
      </w:r>
    </w:p>
    <w:p>
      <w:r>
        <w:t>Au vu de ce qui précède, tant l’OCP que le TAPI ont fait une correcte application des art. 30 al. 1 LEtr et 31 al. 1 OASA en ne reconnaissant pas l’existence d’un cas d’extrême gravité ou d’un cas de rigueur et en prononçant le renvoi des recourants et de leur enfant, conformément aux art. 64 al. 1 let. c et 83 LEtr (ATA/405/2013 précité).</w:t>
      </w:r>
    </w:p>
    <w:p>
      <w:r>
        <w:rPr>
          <w:b/>
        </w:rPr>
        <w:t>E. 15</w:t>
      </w:r>
    </w:p>
    <w:p>
      <w:r>
        <w:t>Mal fondé, le recours sera rejeté. Un émolument de CHF 400.- sera mis à la charge des recourants, pris conjointement et solidairement. Vu l’issue du litige,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