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ATA/553/2008 vom 28. Oktober 2008</w:t>
      </w:r>
    </w:p>
    <w:p>
      <w:r>
        <w:t>GE Cour de justice, 2008-10-28, FR</w:t>
      </w:r>
    </w:p>
    <w:p>
      <w:r>
        <w:rPr>
          <w:b/>
        </w:rPr>
        <w:t xml:space="preserve">Quelle: </w:t>
      </w:r>
      <w:r>
        <w:t>https://mcp.opencaselaw.ch/entscheid/ge_gerichte_ATA_553_2008</w:t>
      </w:r>
    </w:p>
    <w:p>
      <w:r>
        <w:t>FR: GE_GERICHTE ATA/553/2008 du 28 octobre 2008</w:t>
      </w:r>
    </w:p>
    <w:p>
      <w:r>
        <w:t>IT: GE_GERICHTE ATA/553/2008 del 28 ottobre 2008</w:t>
      </w:r>
    </w:p>
    <w:p>
      <w:pPr>
        <w:pStyle w:val="Heading2"/>
      </w:pPr>
      <w:r>
        <w:t>Erwägungen</w:t>
      </w:r>
    </w:p>
    <w:p>
      <w:r>
        <w:rPr>
          <w:b/>
        </w:rPr>
        <w:t>E. 13</w:t>
      </w:r>
    </w:p>
    <w:p>
      <w:r>
        <w:t>Le 17 juillet 2008, les HUG ont indiqué que M. K______ avait été hospitalisé du 5 au 31 mars 2008 en raison d'une décompensation maniaque avec</w:t>
      </w:r>
    </w:p>
    <w:p>
      <w:r>
        <w:t>- 4/8 - A/950/2008 symptomatologie psychotique délirante de type persécution, dans le contexte de son trouble affectif bipolaire. Durant son séjour il avait fugué à plusieurs reprises et s'était montré violent et agressif verbalement et physiquement envers le personnel soignant à son retour de fugue. Son discours était centré sur ses idées délirantes de persécution et hypocondriaque à mécanisme interprétatif et hallucinatoire. Son comportement était inadéquat envers les infirmières comme le médecin, forçant le passage, se montrant insultant et menaçant. C'est dans ce contexte qu'il avait été placé en chambre fermée pour risque hétéro agressif majeur. Suite à l'introduction d'un traitement spécifique, l'intéressé avait évolué favorablement et l'ouverture de la chambre avait alors été possible. Le 31 mars 2008, M. K______ avait pu quitter l'établissement dans un état clinique stable. EN DROIT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2. a. Selon l’article 60 lettre b LPA, ont qualité pour recourir, toutes les personnes qui sont touchées directement par une décision et ont un intérêt digne de protection à ce qu’elle soit annulée et modifiée.</w:t>
      </w:r>
    </w:p>
    <w:p>
      <w:r>
        <w:t>b. Le recourant doit avoir un intérêt pratique à l’admission du recours, soit que cette admission soit propre à lui procurer un avantage, de nature économique, matérielle ou idéale (Arrêt du Tribunal fédéral 1A.47/2002 du 16 avril 2002, consid. 3; 121 II 39 consid. 2 c/aa p. 43). Cet intérêt doit en outre être actuel (Arrêt du Tribunal fédéral 2A.275/2002 du 12 mai 2003 consid. 1.2).</w:t>
      </w:r>
    </w:p>
    <w:p>
      <w:r>
        <w:t>c. L’existence de l’intérêt s’apprécie non seulement au moment du dépôt de recours, mais aussi lors du prononcé de la décision sur recours; s’il s’éteint pendant la procédure, le recours devient sans objet; il doit être simplement radié du rôle (ATF 125 V 374 consid. 1 ; 118 I b 7 consid. 2 ; B. KNAPP, Bundesverwaltungsrechtspflege, 2ème éd., 1983, § 100.15/3.1 et 3.2, p. 154, § 37/2 p. 326) ou peut être déclaré irrecevable (ATF 123 II 285 consid. 4 p. 286 et ss. ; 118 Ia 46 consid. 3c p. 53 ; 111 Ib 58 consid. 2 p. 52 ; ATA/640/2005 du 27 septembre 2005 ; ATA/552/2005 du 16 août 2005 ; ATA/665/2004 du 24 août 2004).</w:t>
      </w:r>
    </w:p>
    <w:p>
      <w:r>
        <w:t>Il résulte du dossier que l'intéressé a fait l'objet de pas moins de 23 hospitalisations et que, dans ce cadre-là, il a été placé plusieurs fois en chambre fermée. On ne peut donc exclure un nouveau séjour en milieu médical, à l'occasion duquel une mesure de contrainte serait prononcée. Sa durée étant en principe la plus courte possible, elle pourrait avoir pris fin avant que le tribunal de</w:t>
      </w:r>
    </w:p>
    <w:p>
      <w:r>
        <w:t>- 5/8 - A/950/2008 céans ait statué sur un recours, comme cela a déjà été le cas par le passé, s'agissant de l'intéressé (ATA/487/2007 du 2 octobre 2007). Dans ce contexte, le Tribunal administratif renoncera à l'exigence de l'intérêt actuel. 3.</w:t>
      </w:r>
    </w:p>
    <w:p>
      <w:r>
        <w:t>Selon l’article 65 alinéa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certitudes les fins du recourant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2ème éd., p. 674 n. 5.7.1.4).</w:t>
      </w:r>
    </w:p>
    <w:p>
      <w:r>
        <w:t>En l'espèce, bien que sommaires, les écritures du recourant permettent de comprendre qu'il demande l'annulation de la mesure de contrainte. 4.</w:t>
      </w:r>
    </w:p>
    <w:p>
      <w:r>
        <w:t>Dans le cadre de sa mission, la commission de surveillance a, entre autres attributions, le pouvoir de statuer sur les demandes d'interdiction ou de levée des mesures de contrainte (art. 7 al. 1 let. f de la loi sur la commission de surveillance des professions de la santé et des droits des patients du 7 avril 2006 - LComPS - K 3 03).</w:t>
      </w:r>
    </w:p>
    <w:p>
      <w:r>
        <w:t>Dans ces cas, l'instruction du dossier est confiée à une délégation composée de trois membres de la commission de surveillance, dont un psychiatre et un membre d'une organisation se vouant statutairement à la défense des droits des patients (art. 23 al. 1 LComPS). 5. a. Selon l'article 50 de la loi sur la santé du 1er septembre 2006 (LS - K 1 03), toute mesure de contrainte à l'égard des patients est en principe interdite. Exceptionnellement, dans la mesure du possible, après avoir discuté avec le patient, respectivement le représentant qu'il a désigné, le représentant légal ou ses proches ou le médecin responsable d'une institution de santé peut, après consultation de l'équipe soignante, imposer pour une durée limitée des mesures de contrainte strictement nécessaires à la prise en charge du patient si d'autres mesures moins restrictives de la liberté personnelle ont échoué ou n'existent pas et</w:t>
      </w:r>
    </w:p>
    <w:p>
      <w:r>
        <w:t>- 6/8 - A/950/2008 si le comportement du patient présente un danger grave pour sa sécurité ou sa santé ou celles d'autrui. Le médecin responsable d'une institution de santé peut déléguer cette prérogative à un autre professionnel de la santé compétent. La mise en cellule d'isolement à caractère carcéral est interdite.</w:t>
      </w:r>
    </w:p>
    <w:p>
      <w:r>
        <w:t>A teneur de l'article 51 alinéa 1 LS, la surveillance du patient est renforcée pendant toute la durée de la mesure de contrainte, dont le maintien fait l'objet d'évaluations régulières et fréquentes. Un protocole comprenant le but et le type de chaque mesure utilisée, ainsi que le nom de la personne responsable et le résultat des évaluations est inséré dans le dossier du patient. Selon l'article 51 alinéa 2 de la loi sur la santé, le patient, le représentant qu'il a désigné pour prendre en son nom les décisions de soins, son représentant légal et ses proches peuvent s'adresser à la commission de surveillance pour demander l'interdiction ou la levée des mesures de contrainte.</w:t>
      </w:r>
    </w:p>
    <w:p>
      <w:r>
        <w:t>b. Le mémorial des séances du Grand Conseil (MGC) concernant l'article 51 LS définit la mesure de contrainte. Il s'agit de toute mesure limitant la personne dans sa liberté de mouvement. La notion doit dès lors être clairement distinguée du traitement médical forcé ou traitement "sans consentement" (MGC 2003- 2004/XI A 5849).</w:t>
      </w:r>
    </w:p>
    <w:p>
      <w:r>
        <w:t>La liberté de mouvement est une composante de la liberté personnelle garantie par la Constitution fédérale de la Confédération suisse du 18 avril 1999 (Cst. - RS 101 ; art. 10 al. 2 Cst.). Elle n'est pas absolue et peut être restreinte moyennant le respect des conditions énoncées à l'article 36 Cst. : la restriction doit ainsi reposer sur une base légale, être justifiée par un intérêt public ou par la protection d'un droit fondamental d'autrui et être proportionnée au but visé (MGC précité).</w:t>
      </w:r>
    </w:p>
    <w:p>
      <w:r>
        <w:t>En milieu médical, la question des mesures de contrainte doit être comprise dans un sens très large et recouvre des mesures aussi diverses que celles "liées à la surveillance électronique ou à la fermeture automatique des portes" et celles correspondant à des "entraves telles que des liens ou des barrières visant à éviter les chutes". Un vaste éventail de mesures plus ou moins contraignantes répond au principe de proportionnalité, la mesure la moins lourde devant dans tous les cas être préférée afin de restreindre le moins possible la liberté de mouvement dans l'hypothèse, qui doit rester exceptionnelle, où une telle restriction serait nécessaire pour protéger la sécurité et la santé du patient ou des tiers (MGC précité).</w:t>
      </w:r>
    </w:p>
    <w:p>
      <w:r>
        <w:t>c. Un traitement médical sous contrainte trouve un consensus entre juristes et médecins autour de la notion de péril en la demeure ; toute personne qui risque de devenir un danger pour elle-même ou autrui devient ainsi candidate à des mesures de contrainte, classiquement une hospitalisation non volontaire, surtout dans la mesure où son comportement est dû à une maladie ou à un état mental particulier susceptible de diminuer ses capacités d'action et de jugement. Protection de</w:t>
      </w:r>
    </w:p>
    <w:p>
      <w:r>
        <w:t>- 7/8 - A/950/2008 l'individu contre lui-même et/ou protection de la société contre une personne dérangeante, la ligne de démarcation est floue (Droit, santé mentale et handicap, acte de la 9ème journée de droit de la santé, rapport n° 2 de l'Institut du Droit de la Santé [IDS] de l'Université de Neuchâtel, 2003, p. 27).</w:t>
      </w:r>
    </w:p>
    <w:p>
      <w:r>
        <w:t>En l'espèce, le recourant souffre d'un trouble affectif bipolaire et avait été hospitalisé le 5 mars 2008 en raison d'une décompensation maniaque avec symptomatologie psychotique délirante de type persécution. Il ressort des constatations faites par les médecins des HUG ayant pris en charge le recourant, comme de celles des membres de la commission ayant pu s'entretenir avec lui, que ce dernier, en raison de son état médical à ce moment, présentait un risque aussi bien auto-agressif qu'hétéro-agressif. Le recourant ne fournit pas d'éléments probants susceptibles de remettre en cause cette appréciation, se contentant de contester d'une manière générale sa prise en charge médicale. Le tribunal de céans retiendra dès lors que la mesure était conforme au droit. 6.</w:t>
      </w:r>
    </w:p>
    <w:p>
      <w:r>
        <w:t>Au vu de ce qui précède, le recours sera rejeté</w:t>
      </w:r>
    </w:p>
    <w:p>
      <w:r>
        <w:t>Vu les circonstances, aucun émolument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