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ATA/552/2024 vom 3. Mai 2024</w:t>
      </w:r>
    </w:p>
    <w:p>
      <w:r>
        <w:t>GE Cour de justice, 2024-05-03, FR</w:t>
      </w:r>
    </w:p>
    <w:p>
      <w:r>
        <w:rPr>
          <w:b/>
        </w:rPr>
        <w:t xml:space="preserve">Quelle: </w:t>
      </w:r>
      <w:r>
        <w:t>https://mcp.opencaselaw.ch/entscheid/ge_gerichte_ATA_552_2024</w:t>
      </w:r>
    </w:p>
    <w:p>
      <w:r>
        <w:t>FR: GE_GERICHTE ATA/552/2024 du 3 mai 2024</w:t>
      </w:r>
    </w:p>
    <w:p>
      <w:r>
        <w:t>IT: GE_GERICHTE ATA/552/2024 del 3 maggio 2024</w:t>
      </w:r>
    </w:p>
    <w:p>
      <w:pPr>
        <w:pStyle w:val="Heading2"/>
      </w:pPr>
      <w:r>
        <w:t>Erwägungen</w:t>
      </w:r>
    </w:p>
    <w:p>
      <w:r>
        <w:rPr>
          <w:b/>
        </w:rPr>
        <w:t>E. 1.1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1.2</w:t>
      </w:r>
    </w:p>
    <w:p>
      <w:r>
        <w:t>L'acte de recours contient, sous peine d'irrecevabilité, la désignation de la décision attaquée et les conclusions du recourant (art. 65 al. 1 LPA). Il contient</w:t>
      </w:r>
    </w:p>
    <w:p>
      <w:r>
        <w:t>- 4/7 - A/35/2024 également l'exposé des motifs ainsi que l'indication des moyens de preuve (art. 65 al. 2 1re phr. LPA).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Une requête en annulation d’une décision doit par exemple être déclarée recevable dans la mesure où le recourant a de manière suffisante manifesté son désaccord avec la décision ainsi que sa volonté qu’elle ne développe pas d’effets juridiques (ATA/20/2022 du 11 janvier 2022 consid. 2b et les arrêts cités).</w:t>
      </w:r>
    </w:p>
    <w:p>
      <w:r>
        <w:rPr>
          <w:b/>
        </w:rPr>
        <w:t>E. 1.3</w:t>
      </w:r>
    </w:p>
    <w:p>
      <w:r>
        <w:t>En l'espèce, le recourant n'a pas pris de conclusions formelles en annulation de la décision querellée. Cela étant, il a exposé de façon circonstanciée les raisons pour lesquelles il estime qu’elle doit être modifiée, ce qui est suffisant pour comprendre qu'il est en désaccord avec cette décision et souhaite son annulation. Bien que la sanction ait été exécutée, le recourant conserve un intérêt actuel à l'examen de la légalité de celle-ci, dès lors qu'il pourrait être tenu compte de la sanction contestée en cas de nouveau problème disciplinaire ou de demande de libération conditionnelle (ATF 139 I 206 consid. 1.1 ; ATA/679/2023 du 26 juin 2023 consis. 2 ; ATA/498/2022 du 11 mai 2022 consid. 2 ; ATA/50/2022 du 18 janvier 2022 consid. 2). Le recours est donc recevable.</w:t>
      </w:r>
    </w:p>
    <w:p>
      <w:r>
        <w:rPr>
          <w:b/>
        </w:rPr>
        <w:t>E. 2</w:t>
      </w:r>
    </w:p>
    <w:p>
      <w:r>
        <w:t>L’objet du litige porte sur la conformité avec le droit de la décision qui sanctionne le recourant de 30 jours de suppression d’accès à la grande salle de sport. 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w:t>
      </w:r>
    </w:p>
    <w:p>
      <w:r>
        <w:rPr>
          <w:b/>
        </w:rPr>
        <w:t>E. 3</w:t>
      </w:r>
    </w:p>
    <w:p>
      <w:r>
        <w:t>Le recourant se plaint implicitement d’une constatation inexacte des faits, puisqu’il conteste s’être soustrait volontairement au contrôle du magnétomètre.</w:t>
      </w:r>
    </w:p>
    <w:p>
      <w:r>
        <w:rPr>
          <w:b/>
        </w:rPr>
        <w:t>E. 3.1</w:t>
      </w:r>
    </w:p>
    <w:p>
      <w:r>
        <w:t>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3e éd., 2011, p. 142 à 145 et la jurisprudence citée).</w:t>
      </w:r>
    </w:p>
    <w:p>
      <w:r>
        <w:t>- 5/7 - A/35/2024</w:t>
      </w:r>
    </w:p>
    <w:p>
      <w:r>
        <w:rPr>
          <w:b/>
        </w:rPr>
        <w:t>E. 3.2</w:t>
      </w:r>
    </w:p>
    <w:p>
      <w:r>
        <w:t>Le statut des personnes incarcérées à la prison est régi par le règlement sur le RRIP, dont les dispositions doivent être respectées par les détenus (art. 42 RRIP). En toute circonstance, ceux-ci doivent observer une attitude correcte à l'égard du personnel pénitentiaire, des autres personnes incarcérées et des tiers (art. 44 RRIP). Il est interdit aux détenus, notamment, d'une façon générale, de troubler l'ordre et la tranquillité de l'établissement (art. 45 let. h RRIP).</w:t>
      </w:r>
    </w:p>
    <w:p>
      <w:r>
        <w:rPr>
          <w:b/>
        </w:rPr>
        <w:t>E. 3.3</w:t>
      </w:r>
    </w:p>
    <w:p>
      <w:r>
        <w:t>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À teneur de l'art. 47 al. 3 RRIP, le directeur ou, en son absence, son suppléant sont compétents pour prononcer a) la suppression de visite pour 15 jours au plus, b) la suppression des promenades collectives, c) la suppression des activités sportives, d) la suppression d’achat pour 15 jours au plus ou encore g) le placement en cellule forte pour 10 jours au plus. Le directeur peut déléguer ces compétences à un membre du personnel gradé (art. 47 al. 7 RRIP).</w:t>
      </w:r>
    </w:p>
    <w:p>
      <w:r>
        <w:rPr>
          <w:b/>
        </w:rPr>
        <w:t>E. 3.4</w:t>
      </w:r>
    </w:p>
    <w:p>
      <w:r>
        <w:t>De jurisprudence constante, la chambre de céans accorde généralement valeur probante aux constatations figurant dans un rapport de police, établi par des agents assermentés sauf si des éléments permettent de s'en écarter (ATA/719/2021 du</w:t>
      </w:r>
    </w:p>
    <w:p>
      <w:r>
        <w:rPr>
          <w:b/>
        </w:rPr>
        <w:t>E. 3.5</w:t>
      </w:r>
    </w:p>
    <w:p>
      <w:r>
        <w:t>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ATA/219/2020 du 25 février 2020 consid. 6d et la référence citée).</w:t>
      </w:r>
    </w:p>
    <w:p>
      <w:r>
        <w:rPr>
          <w:b/>
        </w:rPr>
        <w:t>E. 3.6</w:t>
      </w:r>
    </w:p>
    <w:p>
      <w:r>
        <w:t>En matière de sanctions disciplinaires, l'autorité dispose d'un large pouvoir d'appréciation ; le pouvoir d'examen de la chambre administrative se limite à l'excès ou l'abus du pouvoir d'appréciation (art. 61 al. 2 LPA ; ATA/498/2022 du 11 mai 2022 consid. 5f ; ATA/383/2021 du 30 mars 2021 consid. 4e). 4. En l’espèce, les faits reprochés au recourant ressortent du rapport du 21 décembre 2023 ainsi que des images de vidéosurveillance. En effet, leur visionnage permet de constater que c’est volontairement que le recourant ne s’est</w:t>
      </w:r>
    </w:p>
    <w:p>
      <w:r>
        <w:t>- 6/7 - A/35/2024 pas soumis au contrôle obligatoire. Il marque une pause, observant ses codétenus qui patientent pour passer le contrôle, puis s’éloigne du groupe tout en fixant le magnétomètre du regard jusqu’à le dépasser, alors qu’il se dirige vers son unité. Il n’y a dès lors pas lieu de s’écarter de la version des faits qui ressort du rapport du 21 décembre 2023, à savoir que c’est intentionnellement que le recourant ne s’est pas soumis au contrôle. Le recourant a pu être entendu sur les faits reprochés, ce qu’il ne conteste pas. Le recourant conteste la quotité de la sanction. Or, comme l’a relevé à juste titre l’intimée, le comportement du recourant contrevient au RRIP. Son attitude compromet la tranquillité, l’organisation et le bon fonctionnement de la prison, met en péril la sécurité de la prison et ne saurait dès lors être tolérée. Une suppression de 30 jours d’accès à la grande salle de sport – étant précisé que l’accès à la petite est maintenu – est ainsi proportionnée et doit être confirmée. L’intimée, qui bénéficie d’un large pouvoir d’appréciation en la matière, n’a ainsi pas abusé de son pouvoir d’appréciation ou fait preuve d’arbitraire en choisissant la sanction, qui tient compte de façon adéquate de la faute du recourant. En tous points mal fondé, le recours sera rejeté. 5. La procédure étant gratuite, il ne sera pas perçu d’émolument (art. 87 al. 1 LPA ; art. 12 du règlement sur les frais, émoluments et indemnités en procédure administrative du 30 juillet 1986 - RFPA - E 5 10.03). Il ne sera pas alloué d’indemnité de procédure (art. 87 al. 2 LPA).</w:t>
      </w:r>
    </w:p>
    <w:p>
      <w:r>
        <w:rPr>
          <w:b/>
        </w:rPr>
        <w:t>E. 6</w:t>
      </w:r>
    </w:p>
    <w:p>
      <w:r>
        <w:t>juillet 2021 consid. 2d ; ATA/1339/2018 du 11 décembre 2018 consid. 3b et les arrêts cités). Dès lors que les agents de détention sont également des fonctionnaires assermentés (art. 7 de la loi sur l'organisation des établissements et le statut du personnel pénitentiaires du 3 novembre 2016 - LOPP - F 1 50), le même raisonnement peut être appliqué aux rapports établis par ces derniers (ATA/738/2022 du 14 juillet 2022 consid. 3d ; ATA/36/2019 du 15 janvier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