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ATA/551/2023 vom 30. Mai 2023</w:t>
      </w:r>
    </w:p>
    <w:p>
      <w:r>
        <w:t>GE Cour de justice, 2023-05-30, FR</w:t>
      </w:r>
    </w:p>
    <w:p>
      <w:r>
        <w:rPr>
          <w:b/>
        </w:rPr>
        <w:t xml:space="preserve">Quelle: </w:t>
      </w:r>
      <w:r>
        <w:t>https://mcp.opencaselaw.ch/entscheid/ge_gerichte_ATA_551_2023</w:t>
      </w:r>
    </w:p>
    <w:p>
      <w:r>
        <w:t>FR: GE_GERICHTE ATA/551/2023 du 30 mai 2023</w:t>
      </w:r>
    </w:p>
    <w:p>
      <w:r>
        <w:t>IT: GE_GERICHTE ATA/551/2023 del 30 maggio 2023</w:t>
      </w:r>
    </w:p>
    <w:p>
      <w:pPr>
        <w:pStyle w:val="Heading2"/>
      </w:pPr>
      <w:r>
        <w:t>Erwägungen</w:t>
      </w:r>
    </w:p>
    <w:p>
      <w:r>
        <w:rPr>
          <w:b/>
        </w:rPr>
        <w:t>E. 13</w:t>
      </w:r>
    </w:p>
    <w:p>
      <w:r>
        <w:t>février 2023 prise par le Tribunal administratif de première instance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Agrippino RENDA, avocat de la recourante, à l’office cantonal de la population et des migrations, au Tribunal administratif de première instance ainsi qu'au secrétariat d’État aux migrations.</w:t>
      </w:r>
    </w:p>
    <w:p>
      <w:r>
        <w:t>- 3/3 - A/2041/2022</w:t>
      </w:r>
    </w:p>
    <w:p>
      <w:r>
        <w:t>Au nom de la chambre administrative : la greffière :</w:t>
      </w:r>
    </w:p>
    <w:p>
      <w:r>
        <w:t>Pascale HUGI</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