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ATA/54/2020 vom 21. Januar 2020</w:t>
      </w:r>
    </w:p>
    <w:p>
      <w:r>
        <w:t>GE Cour de justice, 2020-01-21, FR</w:t>
      </w:r>
    </w:p>
    <w:p>
      <w:r>
        <w:rPr>
          <w:b/>
        </w:rPr>
        <w:t xml:space="preserve">Quelle: </w:t>
      </w:r>
      <w:r>
        <w:t>https://mcp.opencaselaw.ch/entscheid/ge_gerichte_ATA_54_2020</w:t>
      </w:r>
    </w:p>
    <w:p>
      <w:r>
        <w:t>FR: GE_GERICHTE ATA/54/2020 du 21 janvier 2020</w:t>
      </w:r>
    </w:p>
    <w:p>
      <w:r>
        <w:t>IT: GE_GERICHTE ATA/54/2020 del 21 gennaio 2020</w:t>
      </w:r>
    </w:p>
    <w:p>
      <w:pPr>
        <w:pStyle w:val="Heading2"/>
      </w:pPr>
      <w:r>
        <w:t>Erwägungen</w:t>
      </w:r>
    </w:p>
    <w:p>
      <w:r>
        <w:rPr>
          <w:b/>
        </w:rPr>
        <w:t>E. 12</w:t>
      </w:r>
    </w:p>
    <w:p>
      <w:r>
        <w:t>septembre 1985 LPA E 5 10). 2)</w:t>
      </w:r>
    </w:p>
    <w:p>
      <w:r>
        <w:t>Le recours devant la chambre administrative peut être formé pour violation du droit, y compris l’excès et l’abus du pouvoir d’appréciation, ainsi que pour constatation inexacte des faits (art. 61 al. 1 LPA).</w:t>
      </w:r>
    </w:p>
    <w:p>
      <w:r>
        <w:t>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3)</w:t>
      </w:r>
    </w:p>
    <w:p>
      <w:r>
        <w:t>Le litige porte sur le refus de l’OCPM de renouveler l’autorisation de séjour pour études de la recourante. 4)</w:t>
      </w:r>
    </w:p>
    <w:p>
      <w:r>
        <w:t>Le 1er janvier 2019, est entrée en vigueur une modification de la loi fédérale sur les étrangers du 16 décembre 2005 (LEtr - RS 142.20), devenue la loi sur les</w:t>
      </w:r>
    </w:p>
    <w:p>
      <w:r>
        <w:t>- 5/9 - A/646/2019 étrangers et l'intégration (ci-après : LEI). En l'absence de dispositions transitoires, la règle générale selon laquelle s'appliquent aux faits dont les conséquences juridiques sont en cause, les normes en vigueur au moment où lesdits faits se sont produits (ATA/1420/2019 du 24 septembre 2019 consid. 4 ; ATA/847/2018 du 21 août 2018 consid. 3c et les références citées), sous réserve, en matière de sanctions disciplinaires ou d'amendes administratives, que le nouveau droit soit plus favorable, prévaut (ATA/1420/2019 précité consid. 4 ; ATA/847/2018 précité consid. 3c).</w:t>
      </w:r>
    </w:p>
    <w:p>
      <w:r>
        <w:t>Les faits de la présente cause s'étant intégralement déroulés avant le 1er janvier 2019, ils sont soumis aux dispositions de la LEI, dans sa teneur en vigueur jusqu'au 31 décembre 2018, étant précisé que la plupart des dispositions de celle-ci sont demeurées identiques.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 Maroc. 6)</w:t>
      </w:r>
    </w:p>
    <w:p>
      <w:r>
        <w:t>À teneur de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w:t>
      </w:r>
    </w:p>
    <w:p>
      <w:r>
        <w:t>Selon l’art. 27 al. 3 LEI, la poursuite du séjour en Suisse après l’achèvement ou l’interruption de la formation ou de la formation continue est régie par les conditions générales d’admission prévues par la LEI.</w:t>
      </w:r>
    </w:p>
    <w:p>
      <w:r>
        <w:t>Les conditions spécifiées dans la disposition de l’art. 27 LEI étant cumulatives, une autorisation de séjour pour l’accomplissement d’une formation ne saurait être délivrée que si l’étudiant étranger satisfait à chacune d’elles (arrêt du Tribunal administratif fédéral [ci-après : TAF] C-1359/2010 du 1er septembre 2010 consid. 5.3 ; ATA/255/2018 du 20 mars 2018 consid. 6a). 7)</w:t>
      </w:r>
    </w:p>
    <w:p>
      <w:r>
        <w:t>Les permis de séjour pour études ne peuvent être délivré qu’aux personnes fréquentant une école délivrant une formation à temps complet dont le programme comprend au moins vingt heures de cours par semaine, dispensé chaque jour de la semaine (SEM, Directives et commentaires, Domaine des étrangers, état au 1er novembre 2019, ch. 5.1.1.6 et 5.1.1.7 p 71).</w:t>
      </w:r>
    </w:p>
    <w:p>
      <w:r>
        <w:t>- 6/9 - A/646/2019 8) a. L’autorité cantonale compétente dispose d’un large pouvoir d’appréciation, l’étranger ne bénéficiant pas d’un droit de séjour en Suisse fondé sur l’art. 27 LEI (arrêts du Tribunal fédéral 2D_49/2015 du 3 septembre 2015 consid. 3 ; 2C_802/2010 du 22 octobre 2010 consid. 4 ; ATA/318/2018 du 10 avril 2018 consid. 8a).</w:t>
      </w:r>
    </w:p>
    <w:p>
      <w:r>
        <w:t>b.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w:t>
      </w:r>
    </w:p>
    <w:p>
      <w:r>
        <w:t>c. Les autorités compétentes tiennent compte, en exerçant leur pouvoir d’appréciation, des intérêts publics, de la situation personnelle de l’étranger, ainsi que de son degré d’intégration (art. 96 al. 1 LEI). 9)</w:t>
      </w:r>
    </w:p>
    <w:p>
      <w:r>
        <w:t>En l’espèce, l’C______ dispense, dans le cadre de la formation que l’intéressée désire entreprendre, un enseignement hebdomadaire d’une durée de quinze à dix-huit heures de soixante minutes, représentant vingt à vingt-quatre périodes.</w:t>
      </w:r>
    </w:p>
    <w:p>
      <w:r>
        <w:t>La durée de cet enseignement ne répond pas aux exigences rappelées ci-dessus ; cette formation ne peut dès lors être qualifiée de formation à plein temps au sens de la LEI.</w:t>
      </w:r>
    </w:p>
    <w:p>
      <w:r>
        <w:t>Le fait que les étudiants doivent fournir du travail complémentaire, à domicile, ou à la bibliothèque de l’établissement, n’est pas apte à modifier cette appréciation. L’ensemble des formations pour adultes nécessite un tel investissement de la part des apprenants, et c’est précisément pour en tenir compte qu’une formation de vingt heures par semaine est déjà qualifiée de formation « à plein temps ».</w:t>
      </w:r>
    </w:p>
    <w:p>
      <w:r>
        <w:t>Dans ces circonstances, la décision de l’OCPM, refusant de prolonger l’autorisation de séjour de l’intéressée, sera confirmée.</w:t>
      </w:r>
    </w:p>
    <w:p>
      <w:r>
        <w:t>Les importants investissements financiers réalisés par la recourante sont inaptes à modifier cette issue. 10) a. Aux termes de l'art. 64 al. 1 let. c LEI, tout étranger dont l'autorisation est refusée, révoquée ou n'est pas prolongée après un séjour autorisé est renvoyé. La décision de renvoi est assortie d'un délai de départ raisonnable (art. 64d al. 1 LEI).</w:t>
      </w:r>
    </w:p>
    <w:p>
      <w:r>
        <w:t>- 7/9 - A/646/2019</w:t>
      </w:r>
    </w:p>
    <w:p>
      <w:r>
        <w:t>Les autorités cantonales peuvent toutefois proposer au SEM d'admettre provisoirement un étranger si l'exécution du renvoi ou de l'expulsion n'est pas possible, n'est pas licite ou ne peut être raisonnablement exigée (art. 83 al. 1 et 6 LEI).</w:t>
      </w:r>
    </w:p>
    <w:p>
      <w:r>
        <w:t>b. En l'espèce, l'autorisation de séjour dont bénéficiait la recourante n'ayant pas été renouvelée, c'est à juste titre que l'OCPM a prononcé son renvoi de Suisse. Le dossier ne fait pas apparaître que l'exécution de cette mesure serait impossible, illicite ou non raisonnablement exigible.</w:t>
      </w:r>
    </w:p>
    <w:p>
      <w:r>
        <w:t>En conclusion, le recours sera rejeté. 11) Vu l'issue du litige, un émolument de CHF 400.- sera mis à la charge de la recourante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