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ATA/54/2008 vom 6. März 2007</w:t>
      </w:r>
    </w:p>
    <w:p>
      <w:r>
        <w:t>GE Cour de justice, 2007-03-06, FR</w:t>
      </w:r>
    </w:p>
    <w:p>
      <w:r>
        <w:rPr>
          <w:b/>
        </w:rPr>
        <w:t xml:space="preserve">Quelle: </w:t>
      </w:r>
      <w:r>
        <w:t>https://mcp.opencaselaw.ch/entscheid/ge_gerichte_ATA_54_2008</w:t>
      </w:r>
    </w:p>
    <w:p>
      <w:r>
        <w:t>FR: GE_GERICHTE ATA/54/2008 du 6 mars 2007</w:t>
      </w:r>
    </w:p>
    <w:p>
      <w:r>
        <w:t>IT: GE_GERICHTE ATA/54/2008 del 6 marzo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Comme cela résulte du texte légal imprimé sur le prononcé de l'amende expédié à M. V______, "le témoin cité qui, sans justifier de son absence, ne paraît pas à l'audience à laquelle il a été convoqué, peut être condamné à une amende n'excédant pas 1'000 fr." (art. 29 al. l LPA).</w:t>
      </w:r>
    </w:p>
    <w:p>
      <w:r>
        <w:t>- 3/4 - A/196/2008</w:t>
      </w:r>
    </w:p>
    <w:p>
      <w:r>
        <w:rPr>
          <w:b/>
        </w:rPr>
        <w:t>E. 2</w:t>
      </w:r>
    </w:p>
    <w:p>
      <w:r>
        <w:t>Selon l'article 30 alinéa 2 LPA, le témoin condamné peut faire opposition auprès de l'autorité qui a prononcé l'amende dans les 30 jours dès la notification de la décision de condamnation".</w:t>
      </w:r>
    </w:p>
    <w:p>
      <w:r>
        <w:rPr>
          <w:b/>
        </w:rPr>
        <w:t>E. 3</w:t>
      </w:r>
    </w:p>
    <w:p>
      <w:r>
        <w:t>En formant opposition, le 21 janvier 2008, à l'encontre du prononcé d’amende reçu le 2 octobre 2007, M. V______ n'a pas agi dans le délai de 30 jours prévu par l'article 30 alinéa 2 LPA. L'opposition est ainsi irrecevable.</w:t>
      </w:r>
    </w:p>
    <w:p>
      <w:r>
        <w:rPr>
          <w:b/>
        </w:rPr>
        <w:t>E. 4</w:t>
      </w:r>
    </w:p>
    <w:p>
      <w:r>
        <w:t>Malgré l'issue du litige, aucun émolument ne sera perçu pour la présente cause.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