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ATA/549/2013 vom 27. August 2013</w:t>
      </w:r>
    </w:p>
    <w:p>
      <w:r>
        <w:t>GE Cour de justice, 2013-08-27, FR</w:t>
      </w:r>
    </w:p>
    <w:p>
      <w:r>
        <w:rPr>
          <w:b/>
        </w:rPr>
        <w:t xml:space="preserve">Quelle: </w:t>
      </w:r>
      <w:r>
        <w:t>https://mcp.opencaselaw.ch/entscheid/ge_gerichte_ATA_549_2013</w:t>
      </w:r>
    </w:p>
    <w:p>
      <w:r>
        <w:t>FR: GE_GERICHTE ATA/549/2013 du 27 août 2013</w:t>
      </w:r>
    </w:p>
    <w:p>
      <w:r>
        <w:t>IT: GE_GERICHTE ATA/549/2013 del 27 agosto 2013</w:t>
      </w:r>
    </w:p>
    <w:p>
      <w:pPr>
        <w:pStyle w:val="Heading2"/>
      </w:pPr>
      <w:r>
        <w:t>Erwägungen</w:t>
      </w:r>
    </w:p>
    <w:p>
      <w:r>
        <w:rPr>
          <w:b/>
        </w:rPr>
        <w:t>E. 12</w:t>
      </w:r>
    </w:p>
    <w:p>
      <w:r>
        <w:t>septembre 1985 - LPA - E 5 10). 2)</w:t>
      </w:r>
    </w:p>
    <w:p>
      <w:r>
        <w:t>Les recourants ont demandé l'audition du contribuable et de deux témoins.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Cela n’implique pas une audition personnelle de l’intéressé, celui-ci devant simplement disposer d’une occasion de se déterminer sur les éléments propres à influer sur l’issue de la cause. (art. 41 LPA ; ATF 138 I 154 consid. 2.3.3 p. 157; 138 V 125 consid. 2.1 p. 127; 137 II 266 consid. 3.2 p. 270; 137 I 195 consid. 2.3.1 p. 197; Arrêts du Tribunal fédéral 5A_ 12/2013 du 8 mars 2013 consid. 4.1; 2D_5/2012 du 19 avril 2012 consid. 2.3 ; 2C_552/2011 du</w:t>
      </w:r>
    </w:p>
    <w:p>
      <w:r>
        <w:rPr>
          <w:b/>
        </w:rPr>
        <w:t>E. 15</w:t>
      </w:r>
    </w:p>
    <w:p>
      <w:r>
        <w:t>mars 2012 consid. 3.1; ATA/305/2013 du 14 mai 2013 ; ATA/40/2013 du 22 janvier 2013).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déjà cité; 131 I 153 consid. 3 p. 158 ; Arrêts du Tribunal fédéral 4A_108/2012 du 11 juin 2012 consid. 3.2; 8C_799/2011 du</w:t>
      </w:r>
    </w:p>
    <w:p>
      <w:r>
        <w:rPr>
          <w:b/>
        </w:rPr>
        <w:t>E. 20</w:t>
      </w:r>
    </w:p>
    <w:p>
      <w:r>
        <w:t>juin 2012 consid. 6.1 ; 2D_2/2012 du 19 avril 2012 consid. 2.3 ; ATA/404/2012 du 26 juin 2012;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w:t>
      </w:r>
    </w:p>
    <w:p>
      <w:r>
        <w:t>- 7/11 - A/697/2011 du Tribunal fédéral 1C_424/2009 du 6 septembre 2010 consid. 2 ; 2C_514/2009 du 25 mars 2010 consid. 3.1).</w:t>
      </w:r>
    </w:p>
    <w:p>
      <w:r>
        <w:t>En l'espèce, les contribuables ont eu l'occasion de s'exprimer par écrit devant l'AFC, le TAPI et enfin devant la chambre de céans. Ils ont ainsi eu toute latitude de faire valoir leur point de vue sur un litige pour lequel les faits ne sont pas ou plus contestés et dont l'objet est circonscrit. Les recourants ne prétendent pas que les auditions sollicitées apporteraient des éléments factuels nouveaux et pertinents. La chambre administrative y renoncera donc. 3)</w:t>
      </w:r>
    </w:p>
    <w:p>
      <w:r>
        <w:t>Le litige concerne l'exercice fiscal 2009 et porte sur le refus de l'AFC d'admettre la déduction de frais au titre de frais professionnels effectifs en lieu et place de la déduction forfaitaire usuelle de la branche.</w:t>
      </w:r>
    </w:p>
    <w:p>
      <w:r>
        <w:t>a. Pour la détermination de l’IFD, sont applicables les dispositions de la loi fédérale sur l’impôt fédéral direct du 14 décembre 1990 (LIFD - RS 642.11) et sa réglementation d’application.</w:t>
      </w:r>
    </w:p>
    <w:p>
      <w:r>
        <w:t>b. Pour l’ICC, ce sont, outre les dispositions de la loi fédérale sur l’harmonisation des impôts directs des cantons et des communes du 14 décembre 1990 (LHID - RS 642.14),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 31 août 2000 (aLITPP II - D 3 12), en vigueur au moment des faits pertinents. 4) a. 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parts de bénéfice provenant de participations de tous genres (art. 20 al. 1 let. c LIFD).</w:t>
      </w:r>
    </w:p>
    <w:p>
      <w:r>
        <w:t>b. Des règles similaires se retrouvent en matière d’ICC (art. 1 al. 1 aLIPP-I ; art. 2 aLIPP-IV pour les revenus de l’activité lucrative dépendante ; art. 6 let. c aLIPP-IV pour les dividendes ou parts de bénéfice et autres avantages appréciables en argent provenant de participations).</w:t>
      </w:r>
    </w:p>
    <w:p>
      <w:r>
        <w:t>- 8/11 - A/697/2011 5) a. Pour la fixation de l’IFD, le revenu net se calcule en défalquant du total des revenus imposables, les déductions générales et les frais mentionnés aux art. 26 à 33a LIFD (art. 25 LIFD).</w:t>
      </w:r>
    </w:p>
    <w:p>
      <w:r>
        <w:t>Le contribuable qui exerce une activité lucrative dépendante peut déduire uniquement les frais professionnels énoncés à l’art. 26 LIFD, parmi lesquels figurent les frais indispensables à l’exercice de la profession (art. 26 al. 1 let. c LIFD). Ces derniers sont estimés forfaitairement, sauf si le contribuable peut justifier de frais plus élevés (art. 26 al. 2 LIFD). A teneur de l’art. 1 al. 1 de l’ordonnance du 10 février 1993 du département fédéral des finances sur la déduction des frais professionnels des personnes exerçant une activité lucrative dépendante en matière d’impôt fédéral direct (RS 642.118.1), sont déductibles « les dépenses nécessaires à l’acquisition du revenu et ayant un rapport de causalité directe avec lui ». Il ne s’agit pas seulement de dépenses effectuées dans le but de réaliser le revenu (critère de finalité), mais également de celles causées directement par l’activité lucrative en question (critère de causalité). Il doit s’agir dans ce dernier cas de dépenses involontaires consécutives à la réalisation d’un risque inhérent à l’exercice de l’activité lucrative et qui ne peuvent être évitées sans autre mesure (J-B ECKERT in D. YERSIN/Y. NOËL, Impôt fédéral direct, Commentaire de la loi sur l'impôt fédéral direct, 2008, no 2 ss ad art. 26 LIFD et références citées).</w:t>
      </w:r>
    </w:p>
    <w:p>
      <w:r>
        <w:t>b. Des principes similaires s’appliquent en matière d’ICC (3 al. 1 a-LIPP-V). 6)</w:t>
      </w:r>
    </w:p>
    <w:p>
      <w:r>
        <w:t>Dans certaines catégories professionnelles, des déductions forfaitaires pour frais professionnels peuvent résulter d'un accord avec les autorités de taxation. Ce mode de faire est justifié lorsque les frais se composent de très nombreux éléments et qu’il serait peu indiqué d’en vouloir exiger les justificatifs détaillés, alors qu’il est possible d’estimer de manière uniforme leur montant total, compte tenu des expériences faites par les membres souvent nombreux dans la profession. Il s’ensuit que seuls les contribuables appartenant aux groupes professionnels pour lesquels des déductions forfaitaires ont été négociées avec l’administration peuvent se prévaloir d’un forfait sans avoir à justifier leurs dépenses par pièces (ATA/96/2008 du 4 mars 2008 et les références citées).</w:t>
      </w:r>
    </w:p>
    <w:p>
      <w:r>
        <w:t>7)</w:t>
      </w:r>
    </w:p>
    <w:p>
      <w:r>
        <w:t>Selon un principe général, il incombe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(ATF 121 II 257 consid. 4 c/aa p. 266 ; Arrêt du Tribunal fédéral 2A.262/2006 du 6 novembre 2006, RDAF 2006 chiffre II p. 430 et ss ; Revues fiscales 60/2005 p. 618 consid. 4.1).</w:t>
      </w:r>
    </w:p>
    <w:p>
      <w:r>
        <w:t>- 9/11 - A/697/2011 8)</w:t>
      </w:r>
    </w:p>
    <w:p>
      <w:r>
        <w:t>En l'espèce, il est établi qu'en sa qualité d'inspecteur d'assurances, le contribuable appartient à un groupe professionnel au bénéfice d'un accord avec les autorités fiscales lui permettant de déduire forfaitairement un montant de frais professionnels déterminé par tranches de revenu.</w:t>
      </w:r>
    </w:p>
    <w:p>
      <w:r>
        <w:t>Dans leur déclaration fiscale 2009, les contribuables ont produit l'attestation de l’AGAP leur permettant de bénéficier de déductions forfaitaires. Les rubriques y relatives étaient remplies. L'AFC pouvait dès lors présumer qu’ils entendaient se prévaloir de ce système et se fonder sur cette pièce pour procéder à la taxation rectificative des intéressés, en écartant à ce stade le montant dépassant la somme des déductions forfaitaires. Ce d'autant que seul un décompte des frais de bureau 2009 était joint à la déclaration fiscale 2009.</w:t>
      </w:r>
    </w:p>
    <w:p>
      <w:r>
        <w:t>D’autres pièces n'ont été produites qu'en annexes au recours devant le TAPI. Elles ne permettent toutefois pas de substituer des déductions pour frais professionnels effectifs aux déductions forfaitaires admises. En effet, le contribuable, qui exerce une activité salariée dépendante, a organisé son activité professionnelle en utilisant des locaux professionnels et en recourant aux services d'une collaboratrice à temps partiel. Il n'a toutefois produit aucune pièce permettant de retenir que cette organisation n'était pas seulement utile mais imposée par l'exercice de son activité d'inspecteur d'assurances, et, dans cette hypothèse, que son employeur ne prenait pas en charge les frais en découlant, étant rappelé qu'aux termes de l'art. 327a de la loi fédérale complétant le Code civil suisse du 30 mars 1911 (Livre cinquième : Droit des obligations - CO - RS 220), l'employeur doit rembourser au travailleur tous les frais nécessaires pour l'exécution de son travail. Le TAPI n’aurait donc pas dû admettre une partie des frais de locaux, de parking et de téléphone comme déductions. Cela ne modifie toutefois pas l'issue du litige puisque l'exclusion du seul salaire de sa collaboratrice suffit à ramener les frais effectifs allégués en-dessous des frais forfaitaires admis par l'AFC. 9)</w:t>
      </w:r>
    </w:p>
    <w:p>
      <w:r>
        <w:t>Au vu de qui précède, le recours sera rejeté.</w:t>
      </w:r>
    </w:p>
    <w:p>
      <w:r>
        <w:t>Vu l'issue du litige, un émolument de CHF 1'000.- sera mis à la charge des contribuables, pris conjointement et solidairement, et aucune indemnité de procédure ne leur sera allouée (art. 87 LPA).</w:t>
      </w:r>
    </w:p>
    <w:p>
      <w:r>
        <w:t>* * * * *</w:t>
      </w:r>
    </w:p>
    <w:p>
      <w:r>
        <w:t>- 10/11 - A/697/2011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