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ATA/548/2022 vom 24. Mai 2022</w:t>
      </w:r>
    </w:p>
    <w:p>
      <w:r>
        <w:t>GE Cour de justice, 2022-05-24, FR</w:t>
      </w:r>
    </w:p>
    <w:p>
      <w:r>
        <w:rPr>
          <w:b/>
        </w:rPr>
        <w:t xml:space="preserve">Quelle: </w:t>
      </w:r>
      <w:r>
        <w:t>https://mcp.opencaselaw.ch/entscheid/ge_gerichte_ATA_548_2022</w:t>
      </w:r>
    </w:p>
    <w:p>
      <w:r>
        <w:t>FR: GE_GERICHTE ATA/548/2022 du 24 mai 2022</w:t>
      </w:r>
    </w:p>
    <w:p>
      <w:r>
        <w:t>IT: GE_GERICHTE ATA/548/2022 del 24 maggio 2022</w:t>
      </w:r>
    </w:p>
    <w:p>
      <w:pPr>
        <w:pStyle w:val="Heading2"/>
      </w:pPr>
      <w:r>
        <w:t>Regeste</w:t>
      </w:r>
    </w:p>
    <w:p>
      <w:r>
        <w:t>Résumé: Confirmation du remboursement litigieux relatif aux prestations d’aide sociale perçues par la recourante pendant 4 ans, alors qu’elle avait caché être propriétaire d’un bien immobilier situé à l’étranger, et ce bien que celui-ci ne soit pas immédiatement disponible ou réalisable à court terme au sens de la jurisprudence fédérale (ATF146 I 1). Raisonnement en deux temps découlant de l’arrêt8C_499/2019du Tribunal fédéral du 20 février 2020 et de l’art. 36 al. 1 LIASI : examiner d’abord le droit aux prestations litigieuses en tenant compte des éléments cachés, puis la question de la bonne ou mauvaise foi. Confirmation du refus de la remise.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1986 - RFPA - E 5 10.03). Vu son issue,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