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ATA/548/2016 vom 28. Juni 2016</w:t>
      </w:r>
    </w:p>
    <w:p>
      <w:r>
        <w:t>GE Cour de justice, 2016-06-28, FR</w:t>
      </w:r>
    </w:p>
    <w:p>
      <w:r>
        <w:rPr>
          <w:b/>
        </w:rPr>
        <w:t xml:space="preserve">Quelle: </w:t>
      </w:r>
      <w:r>
        <w:t>https://mcp.opencaselaw.ch/entscheid/ge_gerichte_ATA_548_2016</w:t>
      </w:r>
    </w:p>
    <w:p>
      <w:r>
        <w:t>FR: GE_GERICHTE ATA/548/2016 du 28 juin 2016</w:t>
      </w:r>
    </w:p>
    <w:p>
      <w:r>
        <w:t>IT: GE_GERICHTE ATA/548/2016 del 28 giugno 2016</w:t>
      </w:r>
    </w:p>
    <w:p>
      <w:pPr>
        <w:pStyle w:val="Heading2"/>
      </w:pPr>
      <w:r>
        <w:t>Regeste</w:t>
      </w:r>
    </w:p>
    <w:p>
      <w:r>
        <w:t>Résumé: Rejet du recours d'une candidate à l'examen final du brevet d'avocat ayant échoué lors de ses trois tentatives et, partant, éliminée de la formation. La composition de la commission ayant prononcé son échec définitif était régulière, et la pratique de l'intimée en pareilles circonstances dûment respectée. Par ailleurs, les cinq conditions cumulatives et nécessaires posées par la jurisprudence pour pouvoir prendre en considération des certificats médicaux présentés après les examens ne sont en l'occurrence pas réalisées.</w:t>
      </w:r>
    </w:p>
    <w:p>
      <w:pPr>
        <w:pStyle w:val="Heading2"/>
      </w:pPr>
      <w:r>
        <w:t>Erwägungen</w:t>
      </w:r>
    </w:p>
    <w:p>
      <w:r>
        <w:rPr>
          <w:b/>
        </w:rPr>
        <w:t>E. 8</w:t>
      </w:r>
    </w:p>
    <w:p>
      <w:r>
        <w:t>Au vu de ce qui précède, le recours sera rejeté. Un émolument de CHF 800.- sera mis à la charge de la recourante, qui succombe. Aucune indemnité de procédure ne sera allouée (art. 87 al. 1 et 2 LPA).</w:t>
      </w:r>
    </w:p>
    <w:p>
      <w:r>
        <w:t>- 17/18 - A/2876/2015</w:t>
      </w:r>
    </w:p>
    <w:p>
      <w:r>
        <w:t>L’indemnité de CHF 100.- versée au témoin cité par la recourante doit être mise à la charge de celle-ci, compte tenu de l’issue de la procédure (art. 87 al. 1 LPA et 3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