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ATA/548/2012 vom 21. August 2012</w:t>
      </w:r>
    </w:p>
    <w:p>
      <w:r>
        <w:t>GE Cour de justice, 2012-08-21, FR</w:t>
      </w:r>
    </w:p>
    <w:p>
      <w:r>
        <w:rPr>
          <w:b/>
        </w:rPr>
        <w:t xml:space="preserve">Quelle: </w:t>
      </w:r>
      <w:r>
        <w:t>https://mcp.opencaselaw.ch/entscheid/ge_gerichte_ATA_548_2012</w:t>
      </w:r>
    </w:p>
    <w:p>
      <w:r>
        <w:t>FR: GE_GERICHTE ATA/548/2012 du 21 août 2012</w:t>
      </w:r>
    </w:p>
    <w:p>
      <w:r>
        <w:t>IT: GE_GERICHTE ATA/548/2012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16 al. 1 LIFD, l’impôt sur le revenu a pour objet tous les revenus du contribuable, qu’ils soient uniques ou périodiques. L'art. 17 LIFD précise que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w:t>
      </w:r>
    </w:p>
    <w:p>
      <w:r>
        <w:t>- 4/7 - A/3040/2009</w:t>
      </w:r>
    </w:p>
    <w:p>
      <w:r>
        <w:t>De jurisprudence constante, tout revenu que la loi n'exclut pas expressément de son champ d'application est considéré comme faisant partie du revenu imposable. Celui-ci comprend l'ensemble des revenus du contribuable, quelle qu'en soit leur nature ou leur forme ; l'impôt frappe le revenu global (ATA/635/2010 du 14 septembre 2010 ; ATA/545/2006 du 10 octobre 2006 et les références citées).</w:t>
      </w:r>
    </w:p>
    <w:p>
      <w:r>
        <w:rPr>
          <w:b/>
        </w:rPr>
        <w:t>E. 3</w:t>
      </w:r>
    </w:p>
    <w:p>
      <w:r>
        <w:t>L'art. 37 LIFD dispose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w:t>
      </w:r>
    </w:p>
    <w:p>
      <w:r>
        <w:t>De jurisprudence constante, le Tribunal fédéral considère que l’art. 37 LIFD s’applique notamment dans l’hypothèse d’un versement unique remplaçant des prestations périodiques échues dans le passé si, selon le cours ordinaire des choses, elles auraient dû être versées, mais que cela n’a pas été fait sans que le contribuable ayant droit n’y soit pour rien. Tel est le cas en particulier des rentes en matière d’assurances sociales demeurées impayées (Revue fiscale 2006, p. 784 ; RDAF 2002 II 1 ss ; ATA/377/2010 du 1er juin 2010).</w:t>
      </w:r>
    </w:p>
    <w:p>
      <w:r>
        <w:t>Des prestations en capital, au sens de l’article 37 LIFD, ne peuvent bénéficier de l’imposition privilégiée que si d’ordinaire - en raison de la nature de cette prestation - un versement périodique est prévu et n’a pas pu avoir lieu, sans que le bénéficiaire y soit pour quelque chose (Archives 70 p. 210). Sous certaines conditions, il faut aussi considérer comme versement de capitaux remplaçant des prestations périodiques, des augmentations de fortune uniques qui ont remplacé des prestations périodiques échues dans le passé (RDAF 2006 II p. 24).</w:t>
      </w:r>
    </w:p>
    <w:p>
      <w:r>
        <w:t>A contrario, le Tribunal fédéral a jugé qu’une indemnité de départ se montant à CHF 120'640.- perçue par un employé licencié - alors qu’il était âgé de quarante-huit ans - était imposable au taux ordinaire. Le versement en capital ne remplaçait pas de prestations périodiques comblant la différence du montant de la rente, d’autant moins qu’elle n’avait pas été calculée sur la base d’une capitalisation de prestations futures en matière de prévoyance. La somme reçue par l’employé constituait une simple prestation forfaitaire de dédommagement, versée volontairement dans le cadre d’une interruption des rapports de travail (RDAF 2001 II p. 253).</w:t>
      </w:r>
    </w:p>
    <w:p>
      <w:r>
        <w:t>La chambre de céans a, quant à elle, considéré à réitérées reprises qu'une rémunération sous forme d'indemnité à la fin des rapports de service / d'indemnité de licenciement devait être considérée tel un revenu, quelle que soit sa dénomination (ATA/320/2009 du 30 juin 2009 ; ATA/44/2008 du 5 février 2008 ; ATA/682/2006 du 19 décembre 2006).</w:t>
      </w:r>
    </w:p>
    <w:p>
      <w:r>
        <w:t>- 5/7 - A/3040/2009</w:t>
      </w:r>
    </w:p>
    <w:p>
      <w:r>
        <w:rPr>
          <w:b/>
        </w:rPr>
        <w:t>E. 4</w:t>
      </w:r>
    </w:p>
    <w:p>
      <w:r>
        <w:t>Tel est bien le cas en l’espèce, la prestation versée par l’ex-employeur du recourant étant une indemnité ordinaire versée à la fin des rapports de service, conformément au règlement interne de l’entreprise, sans prise en compte du moindre élément de remplacement de prestations périodiques échues. Le fait que le recourant la considère comme dédommagement pour un tort moral ressenti à l’occasion de son licenciement ne change rien à la qualification fiscale de cette indemnité en regard des dispositions légales précitées.</w:t>
      </w:r>
    </w:p>
    <w:p>
      <w:r>
        <w:rPr>
          <w:b/>
        </w:rPr>
        <w:t>E. 5</w:t>
      </w:r>
    </w:p>
    <w:p>
      <w:r>
        <w:t>Selon son art. 72, la loi genevoise sur l'imposition des personnes physiques du 27 septembre 2009 (LIPP - D 3 08), s’applique pour la première fois pour les impôts de la période fiscale 2010. Dès lors que le recours a trait à la période fiscale 2008, l'ancien droit cantonal est applicable au litige.</w:t>
      </w:r>
    </w:p>
    <w:p>
      <w:r>
        <w:t>Selon l'art. 17 de l'ancienne loi genevoise sur l'imposition des personnes physiques du 22 septembre 2000 (aLIPP-V - D 3 16),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w:t>
      </w:r>
    </w:p>
    <w:p>
      <w:r>
        <w:t>Selon le Tribunal fédéral, ce dernier article devait s'interpréter de manière uniforme en droit cantonal et en droit fédéral, dans l'optique d'une harmonisation fiscale verticale (RDAF 2006 II p. 21 ; ATA/682/2006 du 19 décembre 2006). Il n'y a donc pas de place pour un champ d'application cantonal de ce régime d'imposition favorable différent du champ d'application fédéral, la norme cantonale devant s'interpréter conformément au droit supérieur. Il s'ensuit que les développements jurisprudentiels concernant l'art. 37 LIFD sont applicables mutatis mutandis, ce qui a été confirmé ultérieurement par la chambre administrative (ATA/320/2009 précité).</w:t>
      </w:r>
    </w:p>
    <w:p>
      <w:r>
        <w:rPr>
          <w:b/>
        </w:rPr>
        <w:t>E. 6</w:t>
      </w:r>
    </w:p>
    <w:p>
      <w:r>
        <w:t>Au vu de ce qui précède, le recours sera rejeté. Vu l’issue du litige, un émolument de CHF 1'000.- sera mis à la charge du recourant (art. 87 al. 1 LPA) Aucune indemnité ne lui sera versée (art. 87 al. 2 LPA).</w:t>
      </w:r>
    </w:p>
    <w:p>
      <w:r>
        <w:t>* * * * *</w:t>
      </w:r>
    </w:p>
    <w:p>
      <w:r>
        <w:t>- 6/7 - A/3040/2009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