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ATA/547/2017 vom 16. Mai 2017</w:t>
      </w:r>
    </w:p>
    <w:p>
      <w:r>
        <w:t>GE Cour de justice, 2017-05-16, FR</w:t>
      </w:r>
    </w:p>
    <w:p>
      <w:r>
        <w:rPr>
          <w:b/>
        </w:rPr>
        <w:t xml:space="preserve">Quelle: </w:t>
      </w:r>
      <w:r>
        <w:t>https://mcp.opencaselaw.ch/entscheid/ge_gerichte_ATA_547_2017</w:t>
      </w:r>
    </w:p>
    <w:p>
      <w:r>
        <w:t>FR: GE_GERICHTE ATA/547/2017 du 16 mai 2017</w:t>
      </w:r>
    </w:p>
    <w:p>
      <w:r>
        <w:t>IT: GE_GERICHTE ATA/547/2017 del 16 maggio 2017</w:t>
      </w:r>
    </w:p>
    <w:p>
      <w:pPr>
        <w:pStyle w:val="Heading2"/>
      </w:pPr>
      <w:r>
        <w:t>Regeste</w:t>
      </w:r>
    </w:p>
    <w:p>
      <w:r>
        <w:t>Résumé: Recours contre une amende de CHF 50.- infligée pour comportement contraire au but de Curabilis du fait de la découverte, lors d'une fouille, d'une lettre testamentaire adressée à une infirmière de l'institution portant sur l'amour impossible du recourant à l'égard de cette dernière. Le comportement reproché au recourant relève du travail thérapeutique et ne constitue pas, dans le cas d'espèce, un comportement fautif relevant du droit disciplinaire. Recours admis et amende annulée.</w:t>
      </w:r>
    </w:p>
    <w:p>
      <w:pPr>
        <w:pStyle w:val="Heading2"/>
      </w:pPr>
      <w:r>
        <w:t>Erwägungen</w:t>
      </w:r>
    </w:p>
    <w:p>
      <w:r>
        <w:rPr>
          <w:b/>
        </w:rPr>
        <w:t>E. 26</w:t>
      </w:r>
    </w:p>
    <w:p>
      <w:r>
        <w:t>septembre 2010 - LOJ - E 2 05 ; art. 62 al. 1 let. a et 63 al. 1 let. c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(ATA/468/2017 du 25 avril 2017 consid. 2b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(ATA/280/2017 du 14 mars 2017 consid. 3b ; Pierre MOOR/Étienne POLTIER, Droit administratif, vol. 2, 3ème éd., p. 624 n. 5.3.1.2).</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(ATA/799/2016 du 27 septembre 2016 consid. 2c et les références citées).</w:t>
      </w:r>
    </w:p>
    <w:p>
      <w:r>
        <w:t>d. En l'espèce, même en l'absence de conclusions formelles, il ressort clairement de son courrier que le recourant souhaite l'annulation de l’amende prononcée par l’autorité intimée.</w:t>
      </w:r>
    </w:p>
    <w:p>
      <w:r>
        <w:t>- 5/9 - A/21/2017</w:t>
      </w:r>
    </w:p>
    <w:p>
      <w:r>
        <w:t>Le recours est par conséquent recevable. 3)</w:t>
      </w:r>
    </w:p>
    <w:p>
      <w:r>
        <w:t>Le recours porte sur la conformité au droit de l’amende de CHF 50.- infligée au recourant pour comportement inadéquat.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(ATA/310/2017 du 21 mars 2017 consid. 5a ; ATA/245/2017 du 28 février 2017 consid. 5b et les références citées). 5)</w:t>
      </w:r>
    </w:p>
    <w:p>
      <w:r>
        <w:t>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 Le sursis à l'exécution peut être révoqué lorsque la personne détenue fait l'objet d'une nouvelle sanction durant le délai d'épreuve (art. 70 al. 7 RCurabilis). Après son prononcé, la sanction peut être suspendue ou la personne détenue en être dispensée pour justes motifs ou en opportunité (art. 70 al. 8 RCurabilis). Le directeur de Curabilis et son suppléant en</w:t>
      </w:r>
    </w:p>
    <w:p>
      <w:r>
        <w:t>- 6/9 - A/21/2017 son absence sont compétents pour prononcer les sanctions (art. 71 al. 1 RCurabilis). 6) a.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interdits, l’évasion et tout acte visant manifestement à préparer l’évasion (let. a), l’insubordination et les incivilités à l’encontre des personnels de Curabilis (let. b), les menaces dirigées contre les différents personnels de Curabilis, les intervenants extérieurs ou des personnes codétenues et les atteintes portées à leur intégrité corporelle ou à leur honneur (let. c), les actes contraires aux mœurs (let. d), les mises en danger d'autrui ou de l'institution (let. e), les actions collectives (let. f), les atteintes illicites au patrimoine d’autrui (let. g), le fait de sortir des locaux de travail des objets ou des marchandises, sans autorisation préalable du personnel (let. h), l’introduction, la sortie, l’acquisition, la transmission et la possession d’objets interdits tels que des armes, des documents, des appareils de communication ou de l’argent liquide (let. i), l’introduction, la possession, la consommation et le commerce d’alcool ou de stupéfiants et de produits semblables ainsi que l’abus de médicaments, l'article 42 al. 4 RCurabilis étant réservé (let. j), le fait d’entretenir des contacts interdits avec des personnes codétenues ou des personnes extérieures au site (let. k), les abus dans le domaine des congés (let. l), le fait de troubler l'ordre ou la tranquillité dans le site ou les environs immédiats (let. m) et, d'une façon générale, le fait d'adopter un comportement contraire au but de Curabilis (let. n ; art. 69 al. 1 RCurabilis).</w:t>
      </w:r>
    </w:p>
    <w:p>
      <w:r>
        <w:t>b. Le directeur de Curabilis peut en tout temps faire fouiller la personne détenue (fouille corporelle superficielle), ses effets personnels et sa cellule ou sa chambre, ainsi qu'ordonner une inspection des locaux (art. 66 al. 1 RCurabilis). 7) a.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 ; art. 59 al. 1 CP).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(art. 59 al. 3 1ère phr. CP).</w:t>
      </w:r>
    </w:p>
    <w:p>
      <w:r>
        <w:t>b. La mission générale de Curabilis est de détenir des personnes majeures privées de liberté en application du droit pénal et, pour l'unité hospitalière de psychiatrie pénitentiaire, également du droit administratif ou civil, afin qu’elles</w:t>
      </w:r>
    </w:p>
    <w:p>
      <w:r>
        <w:t>- 7/9 - A/21/2017 reçoivent des traitements, des soins psychiatriques ou de sociothérapie (art. 1 al. 2 RCurabilis).</w:t>
      </w:r>
    </w:p>
    <w:p>
      <w:r>
        <w:t>Les unités de mesures accueillent des personnes condamnées à une mesure thérapeutique institutionnelle pour traitement des troubles mentaux dans un établissement fermé au sens de l’art. 59 al. 3 CP, et exceptionnellement de l'art. 59 al. 2 CP (art. 9 al. 1 let. a RCurabilis). Les unités de mesures ont pour but de dispenser un traitement thérapeutique institutionnel dont il est à prévoir qu'il détournera la personne détenue de nouvelles infractions (art. 10 al. 1 RCurabilis). De manière générale, la privation de liberté doit améliorer le comportement de la personne détenue et lui permettre d'établir au point de vue social et professionnel des liens indispensables à sa réinsertion, afin de prévenir la récidive (art. 10 al. 2 RCurabilis). Le concept de prise en charge repose sur la thérapie, l'assistance sociale, le comportement, le travail, l'activité occupationnelle et la formation de la personne détenue (art. 10 al. 3 RCurabilis). 8)</w:t>
      </w:r>
    </w:p>
    <w:p>
      <w:r>
        <w:t>En l’espèce, l’autorité intimée était certes parfaitement fondée, suite à la fouille de la cellule du recourant, à ouvrir, pour des raisons sécuritaires, l’enveloppe adressée à une infirmière de l’établissement.</w:t>
      </w:r>
    </w:p>
    <w:p>
      <w:r>
        <w:t>Toutefois, si les éléments trouvés dans l’enveloppe ont certainement une pertinence dans le cadre du traitement thérapeutique du recourant et s’il aurait été souhaitable que celui-ci utilise son cahier thérapeutique pour les exprimer, ou tout au moins qu’il fasse lui-même état de sa lettre, accompagnée de dessins et d’une bague, auprès de son thérapeute, l’absence d’une telle démarche, malgré sa nécessité, relève du travail thérapeutique et ne saurait, dans le cas d’espèce, constituer un comportement fautif relevant du droit disciplinaire.</w:t>
      </w:r>
    </w:p>
    <w:p>
      <w:r>
        <w:t>En effet, l’enveloppe trouvée dans la cellule du recourant était certes adressée à une infirmière de l’établissement, mais ne lui a jamais été transmise. La lettre et les dessins, accompagnés d’une bague, traitaient par ailleurs de sentiments d’amour, néanmoins expressément qualifié d’impossible. L’autorité intimée n’affirme d’ailleurs pas que le recourant aurait adopté une attitude incorrecte à l’égard d’un membre du personnel selon l’art. 68 RCurabilis ou qu’il aurait formulé des menaces au sens de l’art. 69 al. 1 let. c RCurabilis.</w:t>
      </w:r>
    </w:p>
    <w:p>
      <w:r>
        <w:t>Finalement, l’autorité intimée n’indique pas que des éléments de même nature auraient déjà par le passé été découverts dans la cellule du recourant. Il n’apparaît dès lors pas qu’une telle situation se soit déjà produite et que le comportement du recourant puisse être susceptible, de par sa répétition et l’absence de collaboration au traitement thérapeutique, d’être considéré comme fautif de par sa contrariété au but de Curabilis.</w:t>
      </w:r>
    </w:p>
    <w:p>
      <w:r>
        <w:t>Au vu de ce qui précède, s’il est évident que l’autorité intimée devait communiquer les documents découverts dans la cellule du recourant au thérapeute</w:t>
      </w:r>
    </w:p>
    <w:p>
      <w:r>
        <w:t>- 8/9 - A/21/2017 de ce dernier pour prise en compte dans son traitement thérapeutique, conformément au but de la mesure et de Curabilis, le comportement reproché à ce dernier ne constitue pas un comportement relevant du droit disciplinaire. 9)</w:t>
      </w:r>
    </w:p>
    <w:p>
      <w:r>
        <w:t>Dans ces circonstances, le recours sera admis et la décision litigieuse annulée. 10) Vu l’issue et la nature du litige, aucun émolument ne sera perçu (art. 87 al. 1 LPA ; art. 12 du règlement sur les frais, émoluments et indemnités en procédure administrative du 30 juillet 1986 - RFPA - E 5 10.03).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