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ATA/546/2013 vom 27. August 2013</w:t>
      </w:r>
    </w:p>
    <w:p>
      <w:r>
        <w:t>GE Cour de justice, 2013-08-27, FR</w:t>
      </w:r>
    </w:p>
    <w:p>
      <w:r>
        <w:rPr>
          <w:b/>
        </w:rPr>
        <w:t xml:space="preserve">Quelle: </w:t>
      </w:r>
      <w:r>
        <w:t>https://mcp.opencaselaw.ch/entscheid/ge_gerichte_ATA_546_2013</w:t>
      </w:r>
    </w:p>
    <w:p>
      <w:r>
        <w:t>FR: GE_GERICHTE ATA/546/2013 du 27 août 2013</w:t>
      </w:r>
    </w:p>
    <w:p>
      <w:r>
        <w:t>IT: GE_GERICHTE ATA/546/2013 del 27 agosto 2013</w:t>
      </w:r>
    </w:p>
    <w:p>
      <w:pPr>
        <w:pStyle w:val="Heading2"/>
      </w:pPr>
      <w:r>
        <w:t>Erwägungen</w:t>
      </w:r>
    </w:p>
    <w:p>
      <w:r>
        <w:rPr>
          <w:b/>
        </w:rPr>
        <w:t>E. 12</w:t>
      </w:r>
    </w:p>
    <w:p>
      <w:r>
        <w:t>septembre 1985 - LPA - E 5 10). 2)</w:t>
      </w:r>
    </w:p>
    <w:p>
      <w:r>
        <w:t>Les questions de droit matériel sont résolues par le droit en vigueur au cours des périodes fiscales litigieuses (Arrêts du Tribunal fédéral 2C_835/2012 du 1er avril 2013 consid. 8 ; 2A.568/1998 du 31 janvier 2000 ; ATA/197/2013 du 26 mars 2013 ; ATA/724/2012 du 30 octobre 2012 ; ATA/505/2008 du 30 septembre 2008 ; ATA/93/2005 du 1er mars 2005 ; ATA/877/2004 du 9 novembre 2004).</w:t>
      </w:r>
    </w:p>
    <w:p>
      <w:r>
        <w:t>En l'espèce, l'IFD est soumis à la LIFD, entrée en vigueur le 1er janvier 1995.</w:t>
      </w:r>
    </w:p>
    <w:p>
      <w:r>
        <w:t>Quant à l'ICC, le 1er janvier 2010 est entrée en vigueur la loi sur l'imposition des personnes physiques du 27 septembre 2009 (LITT - D 3 08) dont l'art. 69 abroge les cinq anciennes lois sur l'imposition des personnes physiques (aLIPPI-V).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Le recours concernant la période fiscale 2005, le droit dans sa teneur à cette date est applicable (aLIPPI-V). 3)</w:t>
      </w:r>
    </w:p>
    <w:p>
      <w:r>
        <w:t>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parts de bénéfice provenant de participations de tous genres (art. 20 al. 1 let. c LIFD).</w:t>
      </w:r>
    </w:p>
    <w:p>
      <w:r>
        <w:t>- 7/11 - A/2700/2010</w:t>
      </w:r>
    </w:p>
    <w:p>
      <w:r>
        <w:t>Des règles similaires se retrouvent en matière d’ICC (art. 1 al. 1 aLIPP art. 2 aLIPP-IV pour les revenus de l’activité lucrative dépendante ; art. 6 let. c aLIPP- IV pour les dividendes ou parts de bénéfice et autres avantages appréciables en argent provenant de participations). 4) a. Pour la fixation de l’IFD, le revenu net se calcule en défalquant du total des revenus imposables, les déductions générales et les frais mentionnés aux art. 26 à 33a LIFD (art. 25 LIFD).</w:t>
      </w:r>
    </w:p>
    <w:p>
      <w:r>
        <w:t>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w:t>
      </w:r>
    </w:p>
    <w:p>
      <w:r>
        <w:t>b.</w:t>
      </w:r>
    </w:p>
    <w:p>
      <w:r>
        <w:t>L'art. 6 al. 1 aLIPP-V a une teneur identique. 5) a. Selon l'art 123 al. 1 LIFD, les autorités de taxation établissent les éléments de fait et de droit permettant une taxation complète et exacte, en collaboration avec le contribuable. Elles fixent, dans la décision de taxation, les éléments imposables (revenu imposable, bénéfice net imposable), le taux et le montant de l’impôt (art. 131 al. 1 LIFD).</w:t>
      </w:r>
    </w:p>
    <w:p>
      <w:r>
        <w:t>b. En matière cantonale, aux termes de l’art. 36 al. 2 LPFisc, la décision de taxation doit fixer les éléments imposables, les éléments déterminants pour le taux d’imposition, le montant de l’impôt et, le cas échéant, la période pour laquelle l’impôt est prélevé. 6)</w:t>
      </w:r>
    </w:p>
    <w:p>
      <w:r>
        <w:t>Saisie d'une réclamation, l'autorité fiscale peut déterminer à nouveau tous les éléments de l’impôt et, après avoir entendu le contribuable, modifier la taxation même au désavantage de ce dernier, que ce soit pour l'IFD (art. 135 al. 1 LIFD) ou pour l'ICC (art. 43 LPFisc).</w:t>
      </w:r>
    </w:p>
    <w:p>
      <w:r>
        <w:t>En l'espèce, l'AFC a modifié les taxations IFD et ICC 2005 des contribuables dans le cadre des procédures de réclamation contre les bordereaux communiqués le 17 août 2009. Les intéressés ont été informés de l'intention de l'AFC et de l'objet de la rectification défavorable le 15 avril 2010. Ils ont eu l'occasion de faire valoir leur point de vue. La procédure a donc été respectée. 7)</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fiscale ou la suppriment. Il incombe ainsi à l’autorité fiscale d’apporter la preuve de l’existence d’éléments imposables qui n’ont pas été annoncés. Si les preuves recueillies par l’autorité fiscale fournissent suffisamment</w:t>
      </w:r>
    </w:p>
    <w:p>
      <w:r>
        <w:t>- 8/11 - A/2700/2010 d’indices révélant l’existence d’éléments imposables, il appartient à nouveau au contribuable d’établir l’exactitude de ses allégations et de supporter le fardeau de la preuve du fait qui justifie son exonération.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2013 consid. 6.2 et la jurisprudence citée). 8)</w:t>
      </w:r>
    </w:p>
    <w:p>
      <w:r>
        <w:t>L'AFC a considéré que le montant de CHF 695'312.- déclaré comme prêt d'X______ à M. P______ par les contribuables comme étant en réalité une prestation appréciable en argent de la société à son actionnaire.</w:t>
      </w:r>
    </w:p>
    <w:p>
      <w:r>
        <w:t>a. Selon la jurisprudence du Tribunal fédéral, est une prestation appréciable en argent toute attribution faite par la société, sans contre-prestation équivalente, à ses actionnaires ou à toute personne la ou les touchant de près et qu’elle n’aurait pas faite dans les mêmes circonstances à des tiers non participants ; encore faut-il que le caractère insolite de cette prestation soit reconnaissable par les organes de la société (ATF 119 Ib, 431, cons. 2b, p. 435).</w:t>
      </w:r>
    </w:p>
    <w:p>
      <w:r>
        <w:t>b. L’existence d’une prestation appréciable en argent suppose la réalisation de quatre conditions cumulatives : la société fait une prestation sans obtenir de contre-prestation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Selon la jurisprudence, il ne s’agit pas d’examiner si les parties ont reconnu la disproportion, mais plutôt si elles devaient la reconnaître (Arrêts du Tribunal fédéral 2C_421/2009 du 11 janvier 2010 ; 2C_188/2008 du 19 août 2008 ; ATA/633/2011 et ATA/152/2011 précités ; X. OBERSON, Droit fiscal suisse, 4e éd., 2012, p. 236 n. 41 et les références citées). 9)</w:t>
      </w:r>
    </w:p>
    <w:p>
      <w:r>
        <w:t>Dans le cas particulier, il est établi que M. P______ a bénéficié en 2002 de la remise d'un montant non précisé de l'ordre de CHF 1'000'000.- par la société anonyme dont il était alors actionnaire et administrateur unique. Cette opération a été qualifiée de prêt par les parties, qui n'ont pas conclu de convention écrite à ce moment. L'existence et la teneur d'éventuelles modalités de rémunération et remboursement qui auraient été fixées à ce moment ne peuvent ainsi être démontrées. M. P______ n'allègue par ailleurs avoir dû fournir des garanties.</w:t>
      </w:r>
    </w:p>
    <w:p>
      <w:r>
        <w:t>C'est le 11 février 2005, qu'X______ et l'intéressé ont formellement conclu un contrat de prêt écrit, portant sur un montant de CHF 950'000.-, prévoyant des modalités de remboursement et des intérêts. M. P______ a signé le document pour les deux co-contractants. Selon les explications des intimés, c'est l'intervention de l'AFC auprès d'X______ qui a amené cette dernière à formaliser cette relation financière avec son actionnaire.</w:t>
      </w:r>
    </w:p>
    <w:p>
      <w:r>
        <w:t>- 9/11 - A/2700/2010</w:t>
      </w:r>
    </w:p>
    <w:p>
      <w:r>
        <w:t>Ainsi X______ a remis à son actionnaire et unique administrateur un montant équivalent à neuf à dix fois son capital-actions, sans la moindre garantie, ni même en prévoir initialement le remboursement. Dans cette opération le représentant unique de la créancière et l'emprunteur ne font qu'un. Dans ce contexte l'inscription de la dette de l'actionnaire dans les comptes de la société ne peut être considérée comme contre-prestation. On ne voit pas qu'un tiers ait pu obtenir d'X______ un tel prêt d'abord sans conditions en 2002 puis aux conditions fixées en 2005 de la société. Seul organe de la société, M. P______ ne pouvait que se rendre de compte du fait qu'il obtenait d'X______ des facilités financières sans que cette dernière ne dispose de contrepartie valable. On relèvera à cet égard que les recourants ont indiqué que les 25 novembre 2005 et 4 décembre 2006, l'AFC avait notifié à X______ des bordeaux rectificatifs pour les périodes fiscale 2002, 2003 et 2004 et un bordeaux ordinaire pour la période fiscale 2005, reprenant le prêt litigieux en le considérant comme prêt simulé. Ils ne soutiennent pas, ni l'AFC, que ces décisions, antérieures aux décisions sur réclamation du 16 juillet 2010, aient été contestées par M. P______ au nom d'X______.</w:t>
      </w:r>
    </w:p>
    <w:p>
      <w:r>
        <w:t>Au vu de ce qui précède l'AFC disposait d'éléments pertinents pour estimer que le prêt litigieux était simulé. L'argumentation des intimés, qui supportent le fardeau de la preuve du contraire, ne permet pas une autre appréciation. Le seul argument du TAPI pour appuyer la position contraire, à savoir que le prêt avait été amorti de manière usuelle dans les comptes de la société, s'en tient à un élément isolé qui s'avère n'avoir qu'une portée purement formelle en regard de l'ensemble des circonstances du cas d'espèce. 10) La rectification d'imposition contestée concerne l'année 2005. Elle ne peut porter que sur les éléments pertinents pour cette période fiscale, en vertu du principe de l'étanchéité des exercices. Peu importe à cet égard qu'elle ait rendu sa décision en 2010. Les recourants ne peuvent ainsi lui reprocher de n'avoir pas tenu compte des remboursements du prêt intervenus au cours des périodes fiscales suivantes pour fixer le montant repris. 11) Le recours sera admis. Le jugement du TAPI sera annulé et les décisions sur réclamations du 16 juillet 2010 seront intégralement rétablies, de même que les bordereaux rectificatifs IFD et ICC 2005 du même jour.</w:t>
      </w:r>
    </w:p>
    <w:p>
      <w:r>
        <w:t>Vu l'issue du litige, un émolument de CHF 1'000.- sera mis à la charge des époux P______ et aucune indemnité de procédure ne leur sera allouée (art. 87 LPA).</w:t>
      </w:r>
    </w:p>
    <w:p>
      <w:r>
        <w:t>* * * * *</w:t>
      </w:r>
    </w:p>
    <w:p>
      <w:r>
        <w:t>- 10/11 - A/2700/2010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