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ATA/544/2018 vom 4. Juni 2018</w:t>
      </w:r>
    </w:p>
    <w:p>
      <w:r>
        <w:t>GE Cour de justice, 2018-06-04, FR</w:t>
      </w:r>
    </w:p>
    <w:p>
      <w:r>
        <w:rPr>
          <w:b/>
        </w:rPr>
        <w:t xml:space="preserve">Quelle: </w:t>
      </w:r>
      <w:r>
        <w:t>https://mcp.opencaselaw.ch/entscheid/ge_gerichte_ATA_544_2018</w:t>
      </w:r>
    </w:p>
    <w:p>
      <w:r>
        <w:t>FR: GE_GERICHTE ATA/544/2018 du 4 juin 2018</w:t>
      </w:r>
    </w:p>
    <w:p>
      <w:r>
        <w:t>IT: GE_GERICHTE ATA/544/2018 del 4 giugno 2018</w:t>
      </w:r>
    </w:p>
    <w:p>
      <w:pPr>
        <w:pStyle w:val="Heading2"/>
      </w:pPr>
      <w:r>
        <w:t>Erwägungen</w:t>
      </w:r>
    </w:p>
    <w:p>
      <w:r>
        <w:rPr>
          <w:b/>
        </w:rPr>
        <w:t>E. 3</w:t>
      </w:r>
    </w:p>
    <w:p>
      <w:r>
        <w:t>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w:t>
      </w:r>
    </w:p>
    <w:p>
      <w:r>
        <w:t>- 7/10 - A/1493/2018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w:t>
      </w:r>
    </w:p>
    <w:p>
      <w:r>
        <w:t>d. L’art. 11 let. g AIMP prévoit que le traitement confidentiel des informations doit être respecté lors de la passation de marchés. L’art. 22 RMP, intitulé « confidentialité et droit d’auteur », dispose notamment que les informations mises à disposition par les soumissionnaires, en particulier les secrets d’affaires et de fabrication, doivent être traités de façon confidentielle. Par secret d’affaires ou de fabrication, sont visés les procédés ou documents protégés par les dispositions du droit de la propriété intellectuelle, mais également les principes de calcul ou de mesures originaux, ou les profils particuliers de collaborateurs (Peter GALLI/ André MOSER/Élisabeth LANG/ Marc STEINER, Praxis des öffentlichen Beschaffungsrechts, 3ème éd., 2013, p. 565, n. 2575 et la jurisprudence cantonale citée).</w:t>
      </w:r>
    </w:p>
    <w:p>
      <w:r>
        <w:t>Le contentieux administratif des marchés publics est régi par les dispositions de la loi sur la procédure administrative du 12 septembre 1985 (LPA-GE - E 5 10), notamment par celles qui garantissent le droit d’être entendu découlant de l’art. 29 al. 2 de la Constitution fédérale de la Confédération suisse du 18 avril 1999 (Cst. - RS 101).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1C_588/2014 du 22 juin 2015 consid. 2.1 ; 8C_269/2013 du 25 février 2014 consid. 5.2).</w:t>
      </w:r>
    </w:p>
    <w:p>
      <w:r>
        <w:t>La possibilité de faire valoir ses arguments dans une procédure suppose la connaissance préalable des éléments dont l’autorité dispose (ATF 126 I 7 consid. 2b ;</w:t>
      </w:r>
    </w:p>
    <w:p>
      <w:r>
        <w:t>- 8/10 - A/1493/2018 arrêt du Tribunal fédéral 2C_66/2013 du 7 mai 2013 consid. 3.2.2 ; ATA/192/2016 du 1er mars 2016). En particulier, les parties à une procédure de recours ont accès aux pièces qui fonderont l’arrêt à rendre (art. 44 al. 1 LPA), lesquelles incluent les bordereaux de pièces produits par les parties.</w:t>
      </w:r>
    </w:p>
    <w:p>
      <w:r>
        <w:t>En matière de marchés publics, l’obligation pour les États signataires d’assurer le droit de consulter le dossier est rappelée à l’art. XX al. 6 let. c de l’Accord GATT/OMC du 15 avril 1994 sur les marchés publics (AMP - RS 0.632.231.422). Même si ce droit ne fait pas l’objet d’une disposition spécifique dans la législation genevoise relative aux marchés publics, il résulte de l’art. 44 al. 1 LPA et son existence dans ce domaine est reconnue (Evelyne CLERC, L’ouverture des marchés publics : Effectivité et protection juridique, p. 511 ; ATA/528/2016 du 21 juin 2016).</w:t>
      </w:r>
    </w:p>
    <w:p>
      <w:r>
        <w:t>Le refus de transmettre au recourant les contrats dans leur intégralité peut répondre à la nécessité de protéger le secret des affaires, qui l'emporte généralement sur le droit de consulter le dossier du soumissionnaire évincé en matière de marché public (arrêts du Tribunal fédéral 2D_77/2010 du 19 juillet 2011 consid. 2.5 et les références citées).</w:t>
      </w:r>
    </w:p>
    <w:p>
      <w:r>
        <w:t>Le droit de consulter le dossier n’est toutefois pas sans limite. L’accès à tout ou partie du dossier peut être restreint si des intérêts publics ou privés prépondérants l’exigent (art. 45 al. 1 LPA ; Thierry TANQUEREL, Manuel de droit administratif, 2011, p. 512 n. 1545), ce refus ne pouvant s’étendre qu’aux pièces qu’il y a lieu de garder secrètes (art. 45 al.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La décision par laquelle la consultation d’une pièce est refusée peut faire l’objet d’un recours immédiat (al. 4).</w:t>
      </w:r>
    </w:p>
    <w:p>
      <w:r>
        <w:t>On doit admettre que, parmi les intérêts privés pouvant être pris en considération, figurent ceux visés par les art. 11 let. g AIMP et 22 RMP. Toutefois, il est insuffisant que l’autorité de recours dispose de l’intégralité du dossier et tranche la cause sur la base d’une appréciation souveraine, sans que le recourant ait pu faire valoir ses arguments sur les aspects décisifs de celui-ci (Étienne POLTIER, Droit des marchés publics, 2014, p. 274, n. 429). 4)</w:t>
      </w:r>
    </w:p>
    <w:p>
      <w:r>
        <w:t>En l’espèce, il ressort du point 3.18 du dossier d’appel d’offres que « l’adjudicateur a divisé le marché en plusieurs lots. Le soumissionnaire n’a pas l’obligation de donner une offre pour tous les lots (la phrase est soulignée). Le soumissionnaire peut donc choisir le ou les lots pour lesquels il déposera une offre. Le cas échéant, le soumissionnaire le mieux placé par lot, après l’évaluation des offres selon les critères fixés se le verra attribuer. Un soumissionnaire peut donc obtenir deux lots, s’il se trouve être économiquement le plus avantageux sur les deux lots jugés séparément ».</w:t>
      </w:r>
    </w:p>
    <w:p>
      <w:r>
        <w:t>- 9/10 - A/1493/2018</w:t>
      </w:r>
    </w:p>
    <w:p>
      <w:r>
        <w:t>Le pouvoir adjudicateur a retenu le prix avancé par Induni avec le rabais de 2 %, tant pour l’étape 1 que pour l’étape 2. Tant pour l’étape 1 que pour la seconde, l’offre d’Induni n’était pas économiquement la plus avantageuse. Quatre sociétés proposaient les travaux à moins de CHF 3'000'000.- pour l’étape 1 et trois entreprises ont fait des offres meilleur marché pour l’étape 2. Le cahier des charges précise qu’un soumissionnaire peut obtenir les deux lots à la condition d’être économiquement le plus avantageux sur chacun des lots jugés séparément. Rien n’oblige, prima facie, l’autorité adjudicatrice à tenir compte du rabais de 5 %.</w:t>
      </w:r>
    </w:p>
    <w:p>
      <w:r>
        <w:t>Concernant le second grief, il apparaît de prime abord que la recourante substitue sa propre appréciation à celle du pouvoir adjudicateur.</w:t>
      </w:r>
    </w:p>
    <w:p>
      <w:r>
        <w:t>La consultation de la pièce « Q8 modifiée » sera toutefois autorisée afin que la recourante puisse se prononcer sur son contenu dans son mémoire de réplique au fond. Il s’agit de 12 feuilles (dont deux recto-verso), relatives aux références citées par le consortium. Les pièces ne comportent pas de renseignements qui nécessitent d’être soustraits à la consultation.</w:t>
      </w:r>
    </w:p>
    <w:p>
      <w:r>
        <w:t>Les conditions pour la restitution de l’effet suspensif ne sont pas réalisées. La requête en restitution de celui-ci sera rejetée. Le sort des frais de la procédure sera réservé jusqu’à droit jugé au fond. LA CHAMBRE ADMINISTRATIVE refuse de restituer l’effet suspensif au recours ; dit que la pièce « Q8 modifiée » du consortium Sogeca SA &amp; Belloni SA sera envoyée aux parties à la procédure le 10 juin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- 10/10 - A/1493/2018 communique la présente décision, en copie, à Induni &amp; Cie SA, à Me Bertrand Reich, avocat de la Ville de Lancy, à Me Gilles Davoine, avocat de Perrin Frères SA et au consortium Sogeca SA et Belloni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