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ATA/544/2016 vom 28. Juni 2016</w:t>
      </w:r>
    </w:p>
    <w:p>
      <w:r>
        <w:t>GE Cour de justice, 2016-06-28, FR</w:t>
      </w:r>
    </w:p>
    <w:p>
      <w:r>
        <w:rPr>
          <w:b/>
        </w:rPr>
        <w:t xml:space="preserve">Quelle: </w:t>
      </w:r>
      <w:r>
        <w:t>https://mcp.opencaselaw.ch/entscheid/ge_gerichte_ATA_544_2016</w:t>
      </w:r>
    </w:p>
    <w:p>
      <w:r>
        <w:t>FR: GE_GERICHTE ATA/544/2016 du 28 juin 2016</w:t>
      </w:r>
    </w:p>
    <w:p>
      <w:r>
        <w:t>IT: GE_GERICHTE ATA/544/2016 del 28 giugno 2016</w:t>
      </w:r>
    </w:p>
    <w:p>
      <w:pPr>
        <w:pStyle w:val="Heading2"/>
      </w:pPr>
      <w:r>
        <w:t>Regeste</w:t>
      </w:r>
    </w:p>
    <w:p>
      <w:r>
        <w:t>Résumé: La vie commune du recourant et de son épouse suissesse a duré moins de trois ans. Il n'est donc pas nécessaire d'examiner la condition de la réussite de l'intégration. Il ressort du dossier que le recourant ne dispose pas de raisons personnelles majeures permettant la délivrance d'une autorisation de séjour. La situation en Égypte est certes problématique, toutefois ce pays ne connaît pas une situation de guerre, de guerre civile ou de violence généralisée.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3</w:t>
      </w:r>
    </w:p>
    <w:p>
      <w:r>
        <w:t>La LEtr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rPr>
          <w:b/>
        </w:rPr>
        <w:t>E. 4</w:t>
      </w:r>
    </w:p>
    <w:p>
      <w:r>
        <w:t>a. Aux termes de l’art. 50 al. 1 let. a LEtr, après la dissolution de la famille, le droit du conjoint à l'octroi d'une autorisation de séjour et à la prolongation de sa durée de validité en vertu des art. 42 et 43 LEtr subsiste si l'union conjugale a duré au moins trois ans et que l'intégration est réussie.</w:t>
      </w:r>
    </w:p>
    <w:p>
      <w:r>
        <w:t>- 5/10 - A/2793/2014</w:t>
      </w:r>
    </w:p>
    <w:p>
      <w:r>
        <w:t>Le délai de trois ans prévu par cette disposition se calcule en fonction de la durée pendant laquelle les époux ont fait ménage commun en Suisse (ATF 136 II 113 consid. 3.3.5 ; arrêt du Tribunal fédéral 2C_1111/2015 du</w:t>
      </w:r>
    </w:p>
    <w:p>
      <w:r>
        <w:rPr>
          <w:b/>
        </w:rPr>
        <w:t>E. 9</w:t>
      </w:r>
    </w:p>
    <w:p>
      <w:r>
        <w:t>mai 2016 consid. 4.1). La durée de trois ans vaut de façon absolue, quand bien même la fin de la vie conjugale serait intervenue quelques jours ou semaines seulement avant l'expiration du délai (arrêt du Tribunal fédéral 2C_1111/2015 précité consid. 4.1). La notion d'union conjugale de l'art. 50 al. 1 let. a LEtr ne se confond pas avec celle du mariage. Alors que celui-ci peut être plus que formel, l'union conjugale implique une vie conjugale effective, sous réserve des exceptions mentionnées à l'art. 49 LEtr (ATF 137 II 345 consid. 3.1.2 ; 136 II 113 consid. 3.2 ; arrêt du Tribunal fédéral 2C_1111/2015 précité consid. 4.1).</w:t>
      </w:r>
    </w:p>
    <w:p>
      <w:r>
        <w:t>En résumé, la période minimale de trois ans de l'union conjugale commence à courir dès le début de la cohabitation effective des époux en Suisse et s'achève au moment où ceux-ci cessent de faire ménage commun (ATF 140 II 345 consid. 4.1 ; 138 II 229 consid. 2 ; 136 II 113 consid. 3.3.3).</w:t>
      </w:r>
    </w:p>
    <w:p>
      <w:r>
        <w:t>b. Les deux conditions de l’art. 50 al. 1 let. a LEtr étant cumulatives (ATF 140 II 289 consid. 3.5.3 ; 136 II 113 consid. 3.3.3), il n’est pas nécessaire d’examiner la condition de la réussite de l’intégration lorsque l’union conjugale a duré moins de trois ans.</w:t>
      </w:r>
    </w:p>
    <w:p>
      <w:r>
        <w:t>c. En l’espèce, il est établi par la procédure que la vie commune du recourant et de sa seconde épouse a duré moins de trois ans. Pour ce motif déjà et conformément à la jurisprudence du Tribunal fédéral, l’intéressé ne peut pas se prévaloir de l’art. 49 LEtr. L’application de l’art. 50 al. 1 let. a LEtr étant ainsi exclue, il n’est pas nécessaire d’examiner la condition de la réussite de l’intégration. 5. a. En vertu de l’art. 50 al. 1 let. b LEtr, le droit à une autorisation de séjour subsiste après la dissolution de la famille également si la poursuite du séjour en Suisse s'impose pour des raisons personnelles majeures.</w:t>
      </w:r>
    </w:p>
    <w:p>
      <w:r>
        <w:t>L’art. 50 al. 2 LEtr (dont le contenu est repris par l’art. 77 al. 2 OASA) précise que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w:t>
      </w:r>
    </w:p>
    <w:p>
      <w:r>
        <w:t>Selon la jurisprudence du Tribunal fédéral, l'énumération de ces cas n'est pas exhaustive et laisse aux autorités une certaine liberté d'appréciation fondée sur des motifs humanitaires (ATF 136 II 1 consid. 5.3).</w:t>
      </w:r>
    </w:p>
    <w:p>
      <w:r>
        <w:t>Ces dispositions visent à régler les situations qui échappent aux dispositions de l’art. 50 al. 1 let. a LEtr, soit parce que le séjour en Suisse durant le mariage</w:t>
      </w:r>
    </w:p>
    <w:p>
      <w:r>
        <w:t>- 6/10 - A/2793/2014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w:t>
      </w:r>
    </w:p>
    <w:p>
      <w:r>
        <w:t>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w:t>
      </w:r>
    </w:p>
    <w:p>
      <w:r>
        <w:t>b. Comme il s’agit de cas de rigueur survenant à la suite de la dissolution de la famille, en relation avec l’autorisation de séjour découlant du mariage, les raisons qui ont conduit à la rupture de l’union conjugale revêtent par conséquent de l’importance (ATA/403/2015 du 28 avril 2015 consid. 7 ; ATA/674/2014 du 26 août 2014 ; ATA/514/2014 du 1er juillet 2014).</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w:t>
      </w:r>
    </w:p>
    <w:p>
      <w:r>
        <w:t>- 7/10 - A/2793/2014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 6.</w:t>
      </w:r>
    </w:p>
    <w:p>
      <w:r>
        <w:t>En l’espèce, tant le TAPI que l’OCPM ont considéré avec raison que les conditions exigées par l’art. 50 al. 1 let. b et al. 2 LEtr pour renouveler une autorisation de séjour n’étaient pas remplies en l’espèce.</w:t>
      </w:r>
    </w:p>
    <w:p>
      <w:r>
        <w:t>S’il est certain qu’après quinze ans de séjour en Suisse, la réintégration en Égypte sera difficile, on ne peut cependant pas considérer que ces difficultés seraient d’une telle ampleur qu’elles compromettent son retour. L’intéressé a en effet gardé des attaches dans son pays d’origine. Plusieurs membres de sa famille y résident, en particulier les deux filles issues de son premier mariage. De plus, la durée de son séjour en Suisse doit être relativisée dès lors que l’intéressé a dans un premier temps bénéficié d’une autorisation de séjour pour études, ce qui impliquait son retour en Égypte au terme de sa formation. Une décision lui ordonnant de quitter la Suisse, définitive et exécutoire, avait été prononcée. Quant à ses passages en Suisse durant les années 1990, qui ressortent non seulement des dernières pièces produites, mais aussi du dossier de l’autorité, il ne sont pas aptes, du fait de leur brièveté, à modifier l’appréciation qui précède.</w:t>
      </w:r>
    </w:p>
    <w:p>
      <w:r>
        <w:t>Son intégration en Suisse ne présente pas de particularité apte à justifier la délivrance d’une autorisation de séjour. L’intéressé n’a pas commis d’infraction et a respecté tant l’ordre juridique que les us et coutumes helvétiques ; son intégration est similaire à celle de nombreuses personnes dans sa situation.</w:t>
      </w:r>
    </w:p>
    <w:p>
      <w:r>
        <w:t>Quant à la situation familiale du recourant, il faut relever qu’un de ses frères possède la nationalité suisse et vit à Genève. En revanche, l’intéressé n’a pas d’enfants ou d’autres familles en Suisse.</w:t>
      </w:r>
    </w:p>
    <w:p>
      <w:r>
        <w:t>De plus, l’intéressé n’indique pas avoir des problèmes de santé.</w:t>
      </w:r>
    </w:p>
    <w:p>
      <w:r>
        <w:t>- 8/10 - A/2793/2014</w:t>
      </w:r>
    </w:p>
    <w:p>
      <w:r>
        <w:t>Il était dès lors conforme au droit, en procédant à une appréciation globale de l’ensemble de ces éléments, de considérer qu’il n’y a pas de raisons personnelles majeures, au sens des dispositions rappelées ci-dessus, permettant de délivrer à l’intéressé une autorisation de séjour. 7.</w:t>
      </w:r>
    </w:p>
    <w:p>
      <w:r>
        <w:t>Selon l’art. 64 al. 1 let. c LEtr, les autorités compétentes rendent une décision de renvoi ordinaire à l’encontre d’un étranger auquel l’autorisation de séjour est refusée ou dont l’autorisation n’est pas prolongée.</w:t>
      </w:r>
    </w:p>
    <w:p>
      <w:r>
        <w:t>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Si la situation en Égypte est certes problématique, ce pays ne connaît toutefois pas une situation de guerre, de guerre civile ou de violence généralisée et ne permettant, en dehors de circonstances particulières liées à un cas d’espèce, d’admettre que tous les ressortissants du pays doivent faire face à une mise en danger concrète au sens de l’art. 83 al. 4 LEtr (ATAF D-2183/2015 du 5 juin 2015 ; arrêt du Tribunal cantonal du canton de Vaud PE.2014.0460 du</w:t>
      </w:r>
    </w:p>
    <w:p>
      <w:r>
        <w:rPr>
          <w:b/>
        </w:rPr>
        <w:t>E. 13</w:t>
      </w:r>
    </w:p>
    <w:p>
      <w:r>
        <w:t>mai 2015 ; ATA/938/2015 du 15 septembre 2015). 8.</w:t>
      </w:r>
    </w:p>
    <w:p>
      <w:r>
        <w:t>Au vu de ce qui précède, le recours sera rejeté. Un émolument de CHF 400.- sera mis à charge du recourant, qui succombe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