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ATA/544/2014 vom 17. Juli 2014</w:t>
      </w:r>
    </w:p>
    <w:p>
      <w:r>
        <w:t>GE Cour de justice, 2014-07-17, FR</w:t>
      </w:r>
    </w:p>
    <w:p>
      <w:r>
        <w:rPr>
          <w:b/>
        </w:rPr>
        <w:t xml:space="preserve">Quelle: </w:t>
      </w:r>
      <w:r>
        <w:t>https://mcp.opencaselaw.ch/entscheid/ge_gerichte_ATA_544_2014</w:t>
      </w:r>
    </w:p>
    <w:p>
      <w:r>
        <w:t>FR: GE_GERICHTE ATA/544/2014 du 17 juillet 2014</w:t>
      </w:r>
    </w:p>
    <w:p>
      <w:r>
        <w:t>IT: GE_GERICHTE ATA/544/2014 del 17 luglio 2014</w:t>
      </w:r>
    </w:p>
    <w:p>
      <w:pPr>
        <w:pStyle w:val="Heading2"/>
      </w:pPr>
      <w:r>
        <w:t>Erwägungen</w:t>
      </w:r>
    </w:p>
    <w:p>
      <w:r>
        <w:rPr>
          <w:b/>
        </w:rPr>
        <w:t>E. 26</w:t>
      </w:r>
    </w:p>
    <w:p>
      <w:r>
        <w:t>septembre 2010 - LOJ - E 2 05 ; art. 62 al. 1 let. a de la loi sur la procédure administrative du 12 septembre 1985 (LPA - E 5 10).</w:t>
      </w:r>
    </w:p>
    <w:p>
      <w:r>
        <w:t>- 7/12 - A/2732/2010 2)</w:t>
      </w:r>
    </w:p>
    <w:p>
      <w:r>
        <w:t>Il s’agit en revanche d’apprécier si Astrag SA a la qualité pour recourir. 3)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(ATA/343/2012 du 5 juin 2012 consid. 2 et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(ATA/281/2012 du 8 mai 2012 ; ATA/5/2009 du 13 janvier 2009 et les références citées).</w:t>
      </w:r>
    </w:p>
    <w:p>
      <w:r>
        <w:t>Cette notion de l’intérêt digne de protection correspond aux critères exposés à l’art. 89 al. 1 let. c de la loi sur le Tribunal fédéral du 17 juin 2005 (LTF - RS 173.110) que les cantons sont tenus de respecter, en application de la règle d’unité de la procédure qui figure à l’art. 111 al. 1 LTF (Arrêt du Tribunal fédéral 1C_152/2012 du 21 mai 2012 consid. 2.1 ; Message du Conseil fédéral concernant la révision totale de l’organisation judiciaire fédérale du 28 février 2001, FF 2001 pp. 4126 ss et 4146 ss).</w:t>
      </w:r>
    </w:p>
    <w:p>
      <w:r>
        <w:t>b. Selon la jurisprudence du Tribunal fédéral, un intérêt digne de protection suppose un intérêt actuel à obtenir l’annulation de la décision attaquée (ATF 138 II 42 consid. 1 p. 44 ; 137 I 23 p. 24-25 consid. 1.3 ; Arrêts du Tribunal fédéral 2C_892/2011 du 17 mars 2012 consid. 1.2 ; 2C_811/2011 du 5 janvier 2012 consid. 1 ; ATA/245/2012 du 24 avril 2012 ; Pierre MOOR/Etienne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w:t>
      </w:r>
    </w:p>
    <w:p>
      <w:r>
        <w:t>c. Le recourant doit être touché dans une mesure et avec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pratique et non seulement théorique, de nature économique, matérielle ou idéale (ATF 137 II 40 consid. 2.3). En d’autres termes, pour lui reconnaître un intérêt digne de protection, il faut que l’admission du recours soit apte à éliminer le préjudice que subirait le recourant (Arrêt du Tribunal fédéral 1P.70/2005 du 22 avril 2005 consid. 3.3.3). 4) a. La faillite d’une société anonyme entraîne sa dissolution (art. 736 ch. 2 de la loi fédérale complétant le Code civil suisse du 30 mars 1911 (Livre cinquième :</w:t>
      </w:r>
    </w:p>
    <w:p>
      <w:r>
        <w:t>- 8/12 - A/2732/2010 Droit des obligations (CO - RS 220)) et elle entre en liquidation (art. 738 CO). La société en liquidation garde sa personnalité juridique aussi longtemps que la répartition entre actionnaires n'est pas terminée (art. 739 al. 1 CO). Le but de la société est alors sa liquidation aux meilleures conditions possibles. Il s'agit de terminer les affaires courantes, de recouvrer les créances, de réaliser les actifs, de payer les dettes, de rembourser les apports des associés et de répartir entre eux le bénéfice ou la perte de liquidation (Arrêt du Tribunal fédéral 2C_446/2012 du 16 janvier 2013 consid. 2.3 in RDAF 2013 II 27).</w:t>
      </w:r>
    </w:p>
    <w:p>
      <w:r>
        <w:t>b. La faillite opère par ailleurs le dessaisissement du failli (Pierre-Robert GILLIERON, Poursuite pour dettes, faillite et concordat, 4ème éd., 2005, p. 316), lequel ne peut plus disposer (art. 204 de la loi fédérale sur la poursuite pour dettes et la faillite du 11 avril 1889 (LP - RS 281.1). C’est l’administration de la masse qui pourvoit à la liquidation (art. 240 LP). Dans cette activité, la masse doit effectuer les actes nécessaires à la liquidation (Pierre-Robert GILLIERON, op. cit., p. 362), et se contenter de ceux-ci. 5)</w:t>
      </w:r>
    </w:p>
    <w:p>
      <w:r>
        <w:t>Dans le contentieux administratif genevois, une cause est rayée du rôle en cas de retrait du recours ou lorsque l’autorité décisionnaire a retiré ou reconsidéré sa décision au cours de la procédure de recours et que le recours n’a plus d’objet. À défaut, le juge doit purger sa saisine en statuant sur le contentieux (ATA/34/2013 du 22 janvier 2013 consid. 4). 6)</w:t>
      </w:r>
    </w:p>
    <w:p>
      <w:r>
        <w:t>En l’espèce, la faillite d’Astrag SA a été prononcée le 17 octobre 2011, soit en cours de procédure. Suite à cette faillite, Astrag SA a modifié ses conclusions initiales tendant à l’annulation du jugement du TAPI et a demandé que la procédure soit rayée du rôle. Le département n’a ni retiré ni reconsidéré sa décision ordonnant le rétablissement d’une situation conforme au droit et le dépôt d’une requête en autorisation de construire, mais a au contraire conclu au rejet du recours et à la confirmation de sa décision. La masse en faillite a indiqué ne pas être concernée par la procédure. Partant, la chambre de céans ne peut pas rayer la cause du rôle. Elle doit statuer dans la présente procédure. Dans ces circonstances, les conclusions modifiées d’Astrag SA demandant que la cause soit rayée du rôle sont irrecevables. Au demeurant, en modifiant ses conclusions et en demandant - même improprement - que la cause soit rayée du rôle, Astrag SA fait la démonstration que l’admission du recours ne lui procurerait aucun avantage pratique : selon la recourante, la cause devrait être rayée du rôle car la décision du département lui ordonnant de rétablir une situation conforme au droit et de déposer une requête en autorisation de construire serait sans objet puisqu’Astrag SA a cessé toute activité. Aussi, de l’aveu même de la recourante, celle-ci ne pourrait donc pas profiter du droit de maintenir les installations litigieuses sur la parcelle n° 2503 si elle obtenait gain de cause. Dans ces circonstances, le recours - que la décision querellée soit déclarée sans objet ou annulée - ne confère à Astrag SA aucun avantage pratique. Il n’est au surplus nul besoin de s’interroger sur les</w:t>
      </w:r>
    </w:p>
    <w:p>
      <w:r>
        <w:t>- 9/12 - A/2732/2010 conséquences du dessaisissement et sur les prérogatives de la masse, respectivement des organes de la société en liquidation, dans les procédures relatives aux décisions administratives non entrées en force. 7)</w:t>
      </w:r>
    </w:p>
    <w:p>
      <w:r>
        <w:t>Pour ce motif, le recours d’Astrag SA doit être déclaré irrecevable. 8)</w:t>
      </w:r>
    </w:p>
    <w:p>
      <w:r>
        <w:t>Pro Natura fait grief au TAPI d’avoir confirmé la décision du département en tant qu’elle ordonne à Astrag SA de requérir une autorisation de construire.</w:t>
      </w:r>
    </w:p>
    <w:p>
      <w:r>
        <w:t>Selon l’art. 4 al. 1 LPA, sont considérées comme des décisions au sens de l’art. 1, les mesures individuelles et concrètes prises par l’autorité dans les cas d’espèce fondées sur le droit public fédéral, cantonal, communal et ayant pour objet : a) de créer, de modifier ou d’annuler des droits ou des obligations; b) de constater l’existence, l’inexistence ou l’étendue de droits, d’obligations ou de faits; c) de rejeter ou de déclarer irrecevables des demandes tendant à créer, modifier, annuler ou constater des droits ou obligations. Par ailleurs, dans les limites des dispositions de l’art. 130 LCI, le département peut ordonner, à l’égard des constructions, des installations ou d’autres choses les mesures suivantes : a) la suspension des travaux ; b) l’évacuation ; c) le retrait du permis d’occupation ; d) l’interdiction d’utiliser ou d’exploiter ; e) la remise en état, la réparation, la modification, la suppression ou la démolition (art. 129 LCI). Ces mesures sont dispensées de la procédure d’autorisation (art. 132 al. 2 LCI).</w:t>
      </w:r>
    </w:p>
    <w:p>
      <w:r>
        <w:t>Lorsque le département invite au dépôt d’une autorisation de construire, il ne statue pas par voie de décision. Il s’agit d’une démarche tendant à poser un cadre formel en initiant une procédure après constatation qu’une construction a été érigée sans droit. Cela ne présuppose pas encore que l’autorisation de construire sera délivrée. Autrement dit, il s’agit d’une étape menant par la suite à la prise d’une décision. Ni le destinataire, ni un tiers ne voient leurs droits touchés par cette invite. Faute d’effet juridique rattaché à celle-ci, elle ne constitue donc pas une décision contre laquelle son destinataire et encore moins un tiers pourraient recourir. Au demeurant, l’invitation à déposer une autorisation de construire ne fait pas partie des mesures administratives énumérées par l’art. 129 LCI contre lesquelles un recours est admis. Il ne serait d’ailleurs pas conforme à la systématique de la LCI de faire figurer l’invitation à requérir une autorisation de construire parmi le catalogue des mesures administratives puisque celles-ci sont justement dispensées de la procédure d’autorisation.</w:t>
      </w:r>
    </w:p>
    <w:p>
      <w:r>
        <w:t>S’il est vrai que la doctrine considère qu’il ne sert à rien de demander une autorisation de construire en vue de régularisation lorsque la construction viole gravement le droit (Piermarco ZEN-RUFFINEN / Christine GUY-ECABERT, Aménagement, construction, expropriation, 2001, p. 425), cela ne signifie pas encore que le département aurait l’interdiction de procéder de la sorte. Au contraire, passer par une procédure en autorisation de construire en bonne et due forme est la meilleure manière de garantir les droits du détenteur de la</w:t>
      </w:r>
    </w:p>
    <w:p>
      <w:r>
        <w:t>- 10/12 - A/2732/2010 construction et des tiers puisqu’elle mène à une décision dont la publicité est assurée au début puis au terme de la procédure.</w:t>
      </w:r>
    </w:p>
    <w:p>
      <w:r>
        <w:t>Au vu de ce qui précède, Pro Natura ne peut par conséquent pas conclure à l’annulation de la décision du département du 9 juillet 2010 en tant qu’elle ordonne à Astrag SA de requérir une autorisation de construire. 9)</w:t>
      </w:r>
    </w:p>
    <w:p>
      <w:r>
        <w:t>Pro Natura conclut à ce qu’il soit ordonné à Astrag SA de démolir, supprimer et évacuer, définitivement et à ses frais, l’ensemble des constructions et installations se trouvant sur la parcelle n° 2305 de la commune de Cartigny, soit les bâtiments cadastrés sous numéros 494, 495, 496, 497, 498, 800, une installation de lavage, des engins de chantier et des dépôts de terre, gravier et verre. De manière implicite, elle fait grief au département de n’avoir pas compris dans sa décision l’ensemble des constructions sur la parcelle.</w:t>
      </w:r>
    </w:p>
    <w:p>
      <w:r>
        <w:t>La décision du département ordonne à Astrag SA de rétablir une situation conforme au droit dans un délai de trente jours. Elle porte sur les bâtiments cadastrés sous numéros 494, 495, 496 et 800 ainsi que sur l’installation de lavage. Bien que rédigée de manière plus sommaire que l’énoncé des conclusions de Pro Natura, la décision du département a le même objet. Il s’agit d’un ordre de mise en conformité visant à libérer la parcelle n° 2305 des constructions érigées sans droit. Cet ordre ne porte pas sur les bâtiments cadastrés sous numéros 498, 498. Comme cela a été exposé ci-dessus, la décision querellée du département précédait d’autres décisions à venir. Il ne saurait lui être fait grief de n’avoir pas compris dans l’ordre de remise en état l’intégralité des bâtiments sur la parcelle n° 2305 et d’avoir, pour certains d’entre eux, donné à Astrag SA l’occasion de déposer une requête en autorisation de construire, même si un tel dépôt paraît illusoire au vu du litige opposant Astrag SA, en liquidation, et Pro Natura, propriétaire de la parcelle.</w:t>
      </w:r>
    </w:p>
    <w:p>
      <w:r>
        <w:t>Partant, ce grief de Pro Natura doit également être écarté. 10) Le recours interjeté par Pro Natura sera dès lors rejeté. 11) Un émolument de CHF 1’000.- sera mis à la charge d’Astrag SA, en liquidation, et un émolument de CHF 1’000.- à la charge de Pro Natura, qui toutes deux succombent.</w:t>
      </w:r>
    </w:p>
    <w:p>
      <w:r>
        <w:t>* * * * *</w:t>
      </w:r>
    </w:p>
    <w:p>
      <w:r>
        <w:t>- 11/12 - A/2732/2010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