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ATA/543/2023 vom 23. Mai 2023</w:t>
      </w:r>
    </w:p>
    <w:p>
      <w:r>
        <w:t>GE Cour de justice, 2023-05-23, FR</w:t>
      </w:r>
    </w:p>
    <w:p>
      <w:r>
        <w:rPr>
          <w:b/>
        </w:rPr>
        <w:t xml:space="preserve">Quelle: </w:t>
      </w:r>
      <w:r>
        <w:t>https://mcp.opencaselaw.ch/entscheid/ge_gerichte_ATA_543_2023</w:t>
      </w:r>
    </w:p>
    <w:p>
      <w:r>
        <w:t>FR: GE_GERICHTE ATA/543/2023 du 23 mai 2023</w:t>
      </w:r>
    </w:p>
    <w:p>
      <w:r>
        <w:t>IT: GE_GERICHTE ATA/543/2023 del 23 maggio 2023</w:t>
      </w:r>
    </w:p>
    <w:p>
      <w:pPr>
        <w:pStyle w:val="Heading2"/>
      </w:pPr>
      <w:r>
        <w:t>Regeste</w:t>
      </w:r>
    </w:p>
    <w:p>
      <w:r>
        <w:t>Résumé: Confirmation d’une décision de refus d’aide financière, au motif que le recul du chiffre d’affaires en 2020 n’était pas d’au moins 40% par rapport au chiffre d’affaires moyen des exercices 2018 et 2019 pour la partie d’activités faisant l’objet de la demande. Le changement, au 1er juillet 2018, de la raison sociale, du but et des activités de la société recourante ne permet pas de s’écarter de la règle stricte concernant la prise en compte du chiffre d’affaires moyen pour les années 2018 et 2019, compte tenu de la date de création de la société antérieure au 31 décembre 2017. Le chiffre d’affaires réalisé au premier semestre 2018 par la société absorbée par fusion le 1er juillet 2018 ne peut pas être pris en considération.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litige porte sur le bien-fondé de la décision sur réclamation du 31 janvier 2023, en tant qu’elle refuse de tenir compte du chiffre d’affaires réalisé par la société absorbée durant le premier semestre 2018. 3. Le 25 septembre 2020, l'Assemblée fédérale a adopté la loi fédérale sur les bases légales des ordonnances du Conseil fédéral visant à surmonter l'épidémie de Covid-19 (loi Covid-19 ; RS 818.102), entrée en vigueur le 26 septembre 2020. Son art. 12, consacré aux « Mesures pour les cas de rigueur destinées aux entreprises », a été modifié lors des sessions de l'Assemblée fédérale des 18 décembre 2020 et 19 mars 2021. Le 17 décembre 2021, sa durée de validité a été prolongée au 31 décembre 2022. En vertu de cette disposition (dans sa teneur en vigueur du 20 mars 2021 au 31 décembre 2022), à la demande d'un ou de plusieurs cantons, la Confédération peut soutenir les mesures de ces cantons pour les cas de rigueur destinées aux entreprises individuelles, aux sociétés de personnes ou aux personnes morales ayant leur siège en Suisse (entreprises) qui ont été créées ou ont commencé leur activité commerciale avant le 1er octobre 2020, avaient leur siège dans le canton le 1er octobre 2020, sont particulièrement touchées par les conséquences de l'épidémie de Covid-19 en raison de la nature même de leur activité économique et constituent un cas de rigueur, en particulier les entreprises actives dans la chaîne de création de valeur du secteur événementiel, les forains, les prestataires du secteur des voyages, de la restauration et de l'hôtellerie ainsi que les entreprises touristiques (al. 1). Il y a cas de rigueur au sens de l'al. 1 si le chiffre d'affaires annuel de l'entreprise est inférieur à 60% de la moyenne pluriannuelle. La situation patrimoniale et la dotation en capital globales doivent être prises en considération, ainsi que la part des coûts fixes non couverts (al. 1bis). La Confédération verse aux cantons une participation financière à hauteur de 70% des mesures pour les cas de rigueur visées à l’al. 1 qu’ils destinent aux entreprises réalisant un chiffre d’affaires annuel de</w:t>
      </w:r>
    </w:p>
    <w:p>
      <w:r>
        <w:rPr>
          <w:b/>
        </w:rPr>
        <w:t>E. 5</w:t>
      </w:r>
    </w:p>
    <w:p>
      <w:r>
        <w:t>Vu l’issue du litige, un émolument de CHF 1'000.- sera mis à la charge de la recourante (art. 87 al. 1 LPA). Aucune indemnité de procédure ne sera allouée à cette dernière, ni au département qui, bien que plaidant par un avocat, dispose d’un service juridique (art. 87 al. 2 LPA ; ATA/1738/2019 du 3 décembre 2019).</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