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ATA/540/2014 vom 17. Juli 2014</w:t>
      </w:r>
    </w:p>
    <w:p>
      <w:r>
        <w:t>GE Cour de justice, 2014-07-17, FR</w:t>
      </w:r>
    </w:p>
    <w:p>
      <w:r>
        <w:rPr>
          <w:b/>
        </w:rPr>
        <w:t xml:space="preserve">Quelle: </w:t>
      </w:r>
      <w:r>
        <w:t>https://mcp.opencaselaw.ch/entscheid/ge_gerichte_ATA_540_2014</w:t>
      </w:r>
    </w:p>
    <w:p>
      <w:r>
        <w:t>FR: GE_GERICHTE ATA/540/2014 du 17 juillet 2014</w:t>
      </w:r>
    </w:p>
    <w:p>
      <w:r>
        <w:t>IT: GE_GERICHTE ATA/540/2014 del 17 luglio 2014</w:t>
      </w:r>
    </w:p>
    <w:p>
      <w:pPr>
        <w:pStyle w:val="Heading2"/>
      </w:pPr>
      <w:r>
        <w:t>Regeste</w:t>
      </w:r>
    </w:p>
    <w:p>
      <w:r>
        <w:t>Résumé: L'art. 5 LRD prévoit de manière exhaustive les déductions à prendre en compte pour fixer le revenu déterminant des personnes demandant des prestations sociales. En prévoyant un coefficient unique de 0,91 % du revenu pour déterminer le droit à des allocations de logement, le nouvel article 4B RRD va au-delà de ce que permet la clause de délégation législative ancrée à l'art. 15 LRD.</w:t>
      </w:r>
    </w:p>
    <w:p>
      <w:pPr>
        <w:pStyle w:val="Heading2"/>
      </w:pPr>
      <w:r>
        <w:t>Erwägungen</w:t>
      </w:r>
    </w:p>
    <w:p>
      <w:r>
        <w:rPr>
          <w:b/>
        </w:rPr>
        <w:t>E. 12</w:t>
      </w:r>
    </w:p>
    <w:p>
      <w:r>
        <w:t>septembre 1985 - LPA - E 5 10). 2)</w:t>
      </w:r>
    </w:p>
    <w:p>
      <w:r>
        <w:t>L’art. 31C al. 1 let. a de la LGL indique que, dans ce texte, il faut entendre par « revenu » le revenu déterminant du titulaire du bail résultant de la LRD, additionné à celui des autres personnes occupant le logement, dont à déduire une somme de CHF 10'000.- pour la première personne, de CHF 7’500.- pour la deuxième personne et de CHF 5’000.- par personne dès la troisième personne occupant le logement.</w:t>
      </w:r>
    </w:p>
    <w:p>
      <w:r>
        <w:t>- 4/7 - A/206/2014 3)</w:t>
      </w:r>
    </w:p>
    <w:p>
      <w:r>
        <w:t>L’art. 3 al. 1 LRD prévoit que les éléments composant le revenu déterminant, lorsqu'ils y figurent, se définissent conformément à la législation fiscale genevoise, en particulier la loi sur l'imposition des personnes physiques du 27 septembre 2009 (LIPP - D 3 08). Une liste exemplative des éléments faisant partie du revenu figure à l’art. 4 LRD, notamment les avances sur pensions alimentaires (let. c) et les les prestations reçues en vertu d'une obligation d'entretien ou d'assistance fondée sur le droit de la famille au sens de l'art. 27, let. f LIPP (let. m).</w:t>
      </w:r>
    </w:p>
    <w:p>
      <w:r>
        <w:t>Les déductions admises sont énumérées exhaustivement à l’art. 5 LRD. En font partie la pension alimentaire et les contributions d'entretien pour les enfants versées au conjoint divorcé, séparé judiciairement ou de fait au sens des art. 8 al. 2 et 33 LIPP. 4)</w:t>
      </w:r>
    </w:p>
    <w:p>
      <w:r>
        <w:t>Faisant usage de la clause de délégation figurant à l’art. 15 LRD, le Conseil d’État a édicté le règlement d'exécution de la loi sur le revenu déterminant le droit aux prestations sociales cantonales du 6 décembre 2006 (RRD - J 4 06.01), dont l’art. 4B, entré en vigueur le 1er avril 2013 et intitulé « période de référence et calcul du revenu déterminant pour les prestations aux locataires », a la teneur suivante :</w:t>
      </w:r>
    </w:p>
    <w:p>
      <w:r>
        <w:t>« 1. Pour les prestations aux locataires, notamment celles octroyées en application de la loi générale sur le logement et la protection des locataires, du 4 décembre 1977, le revenu déterminant est établi sur la base du revenu brut actuel, qui est en principe pris en considération, en dérogation à l'art. 2. Il appartient au locataire de justifier sans délai au service compétent toute modification significative de revenu ainsi que tout changement dans la composition du groupe de personnes occupant le logement, survenant en cours de bail. En cours de bail, à défaut d'annonce de modification de situation par le locataire, le service compétent peut tenir compte des revenus pris en considération pour l'impôt des années précédentes.</w:t>
      </w:r>
    </w:p>
    <w:p>
      <w:r>
        <w:t>2. Le revenu déterminant des personnes soumises à l’impôt au barème ordinaire ainsi que celui des personnes imposées à la source est établi sur la base du revenu calculé en application de l'alinéa 1, multiplié par le coefficient 0,91. » 5) a. L’art. 2 al. 2 de la Constitution de la République et canton de Genève du 24 mai 1847 (Cst-GE - A 2 00) consacre le principe de la séparation des pouvoirs. Le pouvoir législatif incombe au Grand Conseil (art. 80 Cst-GE). Le Conseil d’État genevois, en tant qu’autorité exécutive, est chargé de l’exécution des lois et prend à cet effet les règlements et arrêtés nécessaires (art. 101 Cst-GE). Il ne peut donc disposer praeter legem. À moins d’une délégation expresse, il ne peut pas poser des règles qui restreindraient les droits des administrés ou leur imposeraient</w:t>
      </w:r>
    </w:p>
    <w:p>
      <w:r>
        <w:t>- 5/7 - A/206/2014 des obligations non prévues par la loi (ATF 114 Ia 288 ; ATA/63/2004 du 20 janvier 2004 ; ATA/587/2000 du 26 septembre 2000 ; Blaise KNAPP, Précis de droit administratif, Bâle 1991, n. 322, 353 ; Pierre MOOR, Droit administratif, Berne 1991, n. 3.3.3.1-3). Seule la clause générale de police peut justifier une entorse à ce principe, mais il faut que l’ordre public soit menacé de manière grave, directe, imminente, sans qu’aucune autre mesure légale ne puisse être prise ou aucune norme adoptée en temps utile (Pierre MOOR, op cit. n. 4.2.2.9, p. 337).</w:t>
      </w:r>
    </w:p>
    <w:p>
      <w:r>
        <w:t>b. Les ordonnances administratives ne peuvent contenir que des normes mineures, d’ordre procédural, administratif ou technique (Pierre MOOR, op cit. n. 3.3.5.2). Elles ne sont contraignantes que pour les membres de l’administration, qui, en raison de leurs rapports de service, sont soumis à une relation de puissance spéciale avec les organes hiérarchiques supérieurs (Pierre-Louis MANFRINI, Nature et effets juridiques des ordonnances administratives, Genève 1978, p. 43). N’ayant pas force de loi, elles ne peuvent créer de règles de droit ou contraindre les particuliers à adopter un certain comportement (Andreas AUER/Giorgio MALINVERNI/Michel HOTTELIER, Droit constitutionnel suisse, Vol. 2, 2ème éd., Berne 2006, p. 563 n. 1601 ss). La notion de règle de droit est définie à l’art. 22 al. 4 de la loi sur l’Assemblée fédérale du 13 décembre 2002 (loi sur le Parlement - LParl – RS 171.10). Sont réputées fixant des règles de droit les dispositions générales et abstraites d’application directe qui créent des obligations, confèrent des droits ou attribuent des compétences (art. 22 al. 4 LParl).</w:t>
      </w:r>
    </w:p>
    <w:p>
      <w:r>
        <w:t>c. Les ordonnances législatives d’exécution sont le complément d’une loi au sens formel. Elles sont des règles obligatoires, unilatérales, générales et abstraites permettant d’exécuter une loi formelle qui n’est pas directement applicable. Elles ne peuvent énoncer que des règles secondaires (ATF 104 Ib 209). En matière d’administration de prestations, il appartient au législateur de définir les lignes fondamentales des prestations publiques à fournir (ATF 128 I 113 consid. 3b p. 121 ; ATA/452/2012 du 30 juillet 2012). 6)</w:t>
      </w:r>
    </w:p>
    <w:p>
      <w:r>
        <w:t>En l’espèce, le Grand Conseil a édicté, dans la LRD, des règles précises indiquant que l’ensemble des revenus de la personne concernée devaient être pris en compte et énumérant exhaustivement les déductions à faire pour fixer le revenu déterminant. L’art. 4B al. 1 RRD, en prévoyant pour les prestations aux locataires l’application d’un coefficient unique sur le revenu brut, coefficient qui engloberait l’ensemble des déductions à prendre en compte selon l’art. 5 LRD, est manifestement contraire à la lettre et à l’esprit de cette loi. Il entraîne des inégalités de traitement, notamment dans des situations telles que celles de la recourante. 7)</w:t>
      </w:r>
    </w:p>
    <w:p>
      <w:r>
        <w:t>En conséquence, la décision litigieuse ne peut qu'être annulée, car fondée sur un texte réglementaire dépassant manifestement le cadre de la délégation législative, et donc dépourvu de base légale. La cause sera renvoyée à l’autorité intimée, afin qu’elle rende une nouvelle décision, respectant la LRD.</w:t>
      </w:r>
    </w:p>
    <w:p>
      <w:r>
        <w:t>- 6/7 - A/206/2014 8)</w:t>
      </w:r>
    </w:p>
    <w:p>
      <w:r>
        <w:t>Au vu de cette issue, aucun émolument ne sera perçu et une indemnité de procédure de CHF 1’000.- sera allouée à la recourante, à la charge de l’État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