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ATA/540/2012 vom 21. August 2012</w:t>
      </w:r>
    </w:p>
    <w:p>
      <w:r>
        <w:t>GE Cour de justice, 2012-08-21, FR</w:t>
      </w:r>
    </w:p>
    <w:p>
      <w:r>
        <w:rPr>
          <w:b/>
        </w:rPr>
        <w:t xml:space="preserve">Quelle: </w:t>
      </w:r>
      <w:r>
        <w:t>https://mcp.opencaselaw.ch/entscheid/ge_gerichte_ATA_540_2012</w:t>
      </w:r>
    </w:p>
    <w:p>
      <w:r>
        <w:t>FR: GE_GERICHTE ATA/540/2012 du 21 août 2012</w:t>
      </w:r>
    </w:p>
    <w:p>
      <w:r>
        <w:t>IT: GE_GERICHTE ATA/540/2012 del 21 agosto 2012</w:t>
      </w:r>
    </w:p>
    <w:p>
      <w:pPr>
        <w:pStyle w:val="Heading2"/>
      </w:pPr>
      <w:r>
        <w:t>Erwägungen</w:t>
      </w:r>
    </w:p>
    <w:p>
      <w:r>
        <w:rPr>
          <w:b/>
        </w:rPr>
        <w:t>E. 1</w:t>
      </w:r>
    </w:p>
    <w:p>
      <w:r>
        <w:t>Interjeté auprès de l’autorité compétente le 28 février 2012 contre une décision reçue le 20 février 2012, le recours est recevable de ce point de vue (art. 132 al. 1 de la loi sur l'organisation judiciaire du 26 septembre 2010 LOJ - E 2 05 ; art. 41 al. 1 LChiens).</w:t>
      </w:r>
    </w:p>
    <w:p>
      <w:r>
        <w:rPr>
          <w:b/>
        </w:rPr>
        <w:t>E. 2</w:t>
      </w:r>
    </w:p>
    <w:p>
      <w:r>
        <w:t>M. H______, qui recourt aux côtés de son épouse, n'est pas inscrit, au contraire de cette dernière, dans le registre ANIS comme détenteur de P_____. En tant que conjoint de Mme H______, il est susceptible d'avoir des droits sur l'animal. La question de sa qualité pour recourir peut cependant être laissée ouverte dès lors que cette dernière la possède.</w:t>
      </w:r>
    </w:p>
    <w:p>
      <w:r>
        <w:rPr>
          <w:b/>
        </w:rPr>
        <w:t>E. 3</w:t>
      </w:r>
    </w:p>
    <w:p>
      <w:r>
        <w:t>La détention d'un chien est régie par les dispositions de la loi fédérale du 16 décembre 2005 sur la protection des animaux (LPA - RS 455) et de l’ordonnance du 23 avril 2008 sur la protection des animaux (OPAN - RS 455.01), notamment les art. 68 à 79 OPAN, ainsi que du règlement d’application de la loi fédérale sur la protection des animaux du 15 juin 2011 (RALPA - M 3 50.02). De même, s’appliquent les dispositions de droit cantonal de la LChiens et du RChiens.</w:t>
      </w:r>
    </w:p>
    <w:p>
      <w:r>
        <w:rPr>
          <w:b/>
        </w:rPr>
        <w:t>E. 4</w:t>
      </w:r>
    </w:p>
    <w:p>
      <w:r>
        <w:t>Dès réception d’une dénonciation ou d’un constat d’infraction, le département compétent, soit pour lui l’autorité d’exécution compétente, en l’occurrence le SCAV (art. 2 LPA), procède à une instruction conformément aux dispositions de la LPA.</w:t>
      </w:r>
    </w:p>
    <w:p>
      <w:r>
        <w:t>A teneur de l’art. 10 a LPA, toute personne peut porter à la connaissance des autorités des faits susceptibles d’entraîner l’ouverture d’une procédure administrative. Toutefois, l’autorité ne doit pas donner suite aux dénonciations anonymes. S’agissant de la protection des chiens, la LChiens contient une obligation d’annoncer, outre les cas de blessures graves causées par un animal, les cas de comportement d’agressivité supérieur à la norme (art. 36 al. 1 LChiens). Cette obligation incombe non seulement aux détenteurs de l’animal, mais aux personnes désignées à l’art. 36 al. 2 LChiens, dont les agents de la force publique.</w:t>
      </w:r>
    </w:p>
    <w:p>
      <w:r>
        <w:t>Les recourants considèrent que le SCAV n’avait pas à donner suite à des dénonciations anonymes. Leur opinion ne peut être suivie. L’une des dénonciations émanait de la gendarmerie de Versoix et les trois signalements de comportement agressif de personnes dont l’identité était connue des autorités, même si elle n’apparaissait pas dans la procédure. En l’espèce, la production de</w:t>
      </w:r>
    </w:p>
    <w:p>
      <w:r>
        <w:t>- 7/10 - A/647/2012 ces noms n’est pas nécessaire dès lors que les mesures décidées par le SCAV sont fondées sur leur propre constat concernant le comportement du chien des recourants sans qu’il y ait besoin de connaître qui est à l’origine des informations.</w:t>
      </w:r>
    </w:p>
    <w:p>
      <w:r>
        <w:rPr>
          <w:b/>
        </w:rPr>
        <w:t>E. 5</w:t>
      </w:r>
    </w:p>
    <w:p>
      <w:r>
        <w:t>Les recourants sollicitent une audience de comparution personnelle, voire l’audition, non pas des dénonciateurs, mais des éducateurs canins qui connaissent leur chien.</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8C_799/2011 du 20 juin 2012 consid. 6.1 ; 2D_2/2012 du 19 avril 2012 consid. 2.3 ; 2D_51/2011 du 8 novembre 2011 ; 2C_58/2010 du 19 mai 2010 consid. 4.3 ; 4A_15/2010 du 15 mars 2010 consid. 3.2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Arrêts du Tribunal fédéral 1C_424/2009 du 6 septembre 2010 consid. 2 ; 2C_514/2009 du 25 mars 2010 consid. 3.1). Cela n’implique pas une audition personnelle de l’intéressé, celui-ci devant simplement disposer d’une occasion de se déterminer sur les éléments propres à influer sur l’issue de la cause (art. 41 LPA ; ATF 134 I 140 consid. 5.3 p. 148 ; Arrêt du Tribunal fédéral 2D_5/2012 du 19 avril 2012 consid. 2.3 et les arrêts cités ; ATA/302/2012 du 15 mai 2012 ; ATA/40/2012 du 19 janvier 2012).</w:t>
      </w:r>
    </w:p>
    <w:p>
      <w:r>
        <w:rPr>
          <w:b/>
        </w:rPr>
        <w:t>E. 6</w:t>
      </w:r>
    </w:p>
    <w:p>
      <w:r>
        <w:t>En l’espèce, le dossier communiqué à la chambre administrative est complet. Il contient les pièces qui sont à la base de la décision querellée. Il est dès lors inutile de procéder à une audition des recourants qui ont eu l’occasion de s’exprimer par écrit. Celle des éducateurs canins ne permettrait pas d’amener des éléments utiles à la résolution du cas. Dès lors, il sera statué en l’état du dossier.</w:t>
      </w:r>
    </w:p>
    <w:p>
      <w:r>
        <w:t>- 8/10 - A/647/2012</w:t>
      </w:r>
    </w:p>
    <w:p>
      <w:r>
        <w:rPr>
          <w:b/>
        </w:rPr>
        <w:t>E. 7</w:t>
      </w:r>
    </w:p>
    <w:p>
      <w:r>
        <w:t>Les futurs détenteurs de chiens, à l’exception de ceux qui en ont déjà détenus, doivent fournir une attestation de compétence qui prouve qu’ils ont acquis des connaissances sur la manière de détenir et de traiter les chiens (art. 68 al. 1 OPAN). De même, dans l’année qui suit l’acquisition du chien, la personne qui assume la garde de celui-ci doit fournir une attestation de compétence certifiant qu’elle a le contrôle de son chien dans les situations de la vie quotidienne (art. 68 al. 2 OPAN).</w:t>
      </w:r>
    </w:p>
    <w:p>
      <w:r>
        <w:rPr>
          <w:b/>
        </w:rPr>
        <w:t>E. 8</w:t>
      </w:r>
    </w:p>
    <w:p>
      <w:r>
        <w:t>Sont considérés comme pouvant présenter un danger potentiel, les chiens de grande taille dès 56 cm au garrot, et d’un poids supérieur à 25 kilogrammes (art. 27 LChiens). Selon la liste des chiens figurant dans le formulaire du SCAV, P_____ entre dans cette catégorie, ce qui n’est pas contesté par les recourants.</w:t>
      </w:r>
    </w:p>
    <w:p>
      <w:r>
        <w:rPr>
          <w:b/>
        </w:rPr>
        <w:t>E. 9</w:t>
      </w:r>
    </w:p>
    <w:p>
      <w:r>
        <w:t>Les détenteurs de chiens de grande taille doivent réussir un TMC, qui vaut pour eux autorisation de détention (art. 22 al. 1 let. b et 28 al. 2 LChiens). En règle générale, le chien de grande taille doit être annoncé à un éducateur canin avant l’âge de dix-huit mois en vue de passer le TMC (art. 28 al. 1 LChiens). Les détenteurs de chiens de grande taille, âgés de moins de huit ans au moment de l’entrée en vigueur de la LChiens, soit le 30 août 2011, doivent obtenir l’autorisation de détention dans l’année qui suit cette date (art. 47 al. 4 LChiens).</w:t>
      </w:r>
    </w:p>
    <w:p>
      <w:r>
        <w:rPr>
          <w:b/>
        </w:rPr>
        <w:t>E. 10</w:t>
      </w:r>
    </w:p>
    <w:p>
      <w:r>
        <w:t>Tout détenteur de chien doit satisfaire aux besoins de son chien. Il est tenu de disposer en permanence du matériel adéquat pour maîtriser celui-ci (art. 16 al. 2 LChiens). Il doit éduquer son chien, en particulier en vue d’assurer un comportement social optimal de ce dernier, et afin qu’il ne nuise ni au public, ni aux animaux, ni à l’environnement (art. 15 al. 1 LChiens). Finalement, il doit prendre toutes les précautions nécessaires afin que son chien ne puisse lui échapper, blesser, menacer ou poursuivre le public et les animaux (art. 18 al. 1 LChiens).</w:t>
      </w:r>
    </w:p>
    <w:p>
      <w:r>
        <w:rPr>
          <w:b/>
        </w:rPr>
        <w:t>E. 11</w:t>
      </w:r>
    </w:p>
    <w:p>
      <w:r>
        <w:t>En cas d’infraction à la LChiens, et en fonction de la gravité des faits, le département chargé du SCAV peut prononcer différentes mesures qu’il notifie aux intéressés (art. 39 LChiens). Celles qui concernent les détenteurs de chiens sont les suivantes : a. L’obligation de suivre des cours d’éducation canine ; b. l’obligation du port de la muselière ; c. la castration ou la stérilisation du chien ; d. le séquestre provisoire ou définitif du chien ; e. le refoulement du chien dont le détenteur n’est pas domicilié sur le territoire du canton ;</w:t>
      </w:r>
    </w:p>
    <w:p>
      <w:r>
        <w:t>- 9/10 - A/647/2012 f. l’euthanasie du chien ; g. le retrait de l’autorisation de détenir un chien ; h. l’interdiction de détenir un chien.</w:t>
      </w:r>
    </w:p>
    <w:p>
      <w:r>
        <w:rPr>
          <w:b/>
        </w:rPr>
        <w:t>E. 12</w:t>
      </w:r>
    </w:p>
    <w:p>
      <w:r>
        <w:t>La décision du SCAV du 17 février 2012 comporte une seule mesure au sens de l’art. 39 al. 1 LChiens. Il s’agit de l’ordre donné à Mme H______, ainsi qu’à toute autre personne susceptible de promener l’animal, de poursuivre les cours d’éducation canine en compagnie de P_____ jusqu’à maîtrise complète du chien. Les chiffres 1, 2, 4 et 5 du dispositif de la décision du 17 février 2012 constituent un rappel des dispositions légales applicables. Ces dispositions ne créent ni ne modifient ni n’annulent des droits ou des obligations des recourants au sens de l’art. 4 al. 1 let. a LPA. De même, ces éléments du dispositif n’ont aucun effet constatatoire ou négatoire au sens de l’art. 4 al. 1 let. b ou c LPA.</w:t>
      </w:r>
    </w:p>
    <w:p>
      <w:r>
        <w:rPr>
          <w:b/>
        </w:rPr>
        <w:t>E. 13</w:t>
      </w:r>
    </w:p>
    <w:p>
      <w:r>
        <w:t>En l’occurrence, si c'est à la suite de dénonciation que le SCAV a ouvert une instruction au sujet des risques comportementaux de P_____ et des compétences de sa détentrice à le maîtriser, c’est par l’observation du chien le 14 février 2012 que les collaborateurs de ce service ont constaté qu’il avait encore de la difficulté à obéir aux ordres de base, même s’il acceptait les manipulations effectuées par sa maîtresse ou par le spécialiste de ce service et qu’il avait encore une tendance à effectuer des prises de gueule. Ces constats, qui corroboraient ceux de la séance d'observation du 16 août 2011, mettaient en évidence que les exigences des art. 15 al. 1, 16 al. 1 et 18 al. 1 LChiens n’étaient pas respectées par la maîtresse de l’animal, celui-ci étant insuffisamment dressé. Dès lors, le SCAV était fondé à ordonner la poursuite des cours d’éducation canine. Cette décision étant adéquate et proportionnée à l’intensité des risques que présente le canidé pour le public, elle ne peut donc qu’être confirmée.</w:t>
      </w:r>
    </w:p>
    <w:p>
      <w:r>
        <w:rPr>
          <w:b/>
        </w:rPr>
        <w:t>E. 14</w:t>
      </w:r>
    </w:p>
    <w:p>
      <w:r>
        <w:t>Le recours sera rejeté. Un émolument de procédure du CHF 750.- sera mis à la charge des recourants. Aucune indemnité de procédure ne sera allouée (art. 87 al. 1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