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ATA/53/2022 vom 20. Januar 2022</w:t>
      </w:r>
    </w:p>
    <w:p>
      <w:r>
        <w:t>GE Cour de justice, 2022-01-20, FR</w:t>
      </w:r>
    </w:p>
    <w:p>
      <w:r>
        <w:rPr>
          <w:b/>
        </w:rPr>
        <w:t xml:space="preserve">Quelle: </w:t>
      </w:r>
      <w:r>
        <w:t>https://mcp.opencaselaw.ch/entscheid/ge_gerichte_ATA_53_2022</w:t>
      </w:r>
    </w:p>
    <w:p>
      <w:r>
        <w:t>FR: GE_GERICHTE ATA/53/2022 du 20 janvier 2022</w:t>
      </w:r>
    </w:p>
    <w:p>
      <w:r>
        <w:t>IT: GE_GERICHTE ATA/53/2022 del 20 gennaio 2022</w:t>
      </w:r>
    </w:p>
    <w:p>
      <w:pPr>
        <w:pStyle w:val="Heading2"/>
      </w:pPr>
      <w:r>
        <w:t>Erwägungen</w:t>
      </w:r>
    </w:p>
    <w:p>
      <w:r>
        <w:rPr>
          <w:b/>
        </w:rPr>
        <w:t>E. 21</w:t>
      </w:r>
    </w:p>
    <w:p>
      <w:r>
        <w:t>décembre 2021, le directeur général de l’OCD avait précisé au recourant qu’il envisageait de le détacher provisoirement au sein de l’établissement de Favra, en qualité de directeur adjoint ad interim, à compter du 3 janvier 2022 ; qu’en l’absence d’observations dans le délai qui avait été imparti à M. A______, le directeur de l’OCD l’avait informé, le 29 décembre 2021, de son détachement selon les modalités précitées ; que le nouveau directeur de Champ-Dollon et son adjoint, tous deux ad interim, étaient entrés en fonction le 3 janvier 2022 ; que M. A______ était en incapacité de travail pour raisons de santé depuis le 3 janvier 2022 ; qu’en l’absence d’une décision l’art. 66 al. 1 LPA ne trouvait pas application ; que de surcroît le recourant n’avait ni sollicité de décision contre l’acte matériel dénoncé ni requis sa réintégration par le biais de mesures</w:t>
      </w:r>
    </w:p>
    <w:p>
      <w:r>
        <w:t>- 4/7 - A/4353/2021 provisionnelles ; que si, par impossible, l’acte attaqué devait être considéré comme une décision, il convenait de retirer l’effet suspensif au recours ;</w:t>
      </w:r>
    </w:p>
    <w:p>
      <w:r>
        <w:t>que, par réplique du 17 janvier 2022, M. A______ a persisté dans ses conclusions, qualifiant le courrier du 17 décembre 2021 de décision ; qu’à la suite de celui-ci, l’administration du DSPS n’avait plus de marge de manœuvre ; que les échanges qui avaient suivi n’étaient que des mesures d’exécution ; que la décision querellée n’avait jamais été déclarée exécutoire nonobstant recours ;</w:t>
      </w:r>
    </w:p>
    <w:p>
      <w:r>
        <w:t>que, sur ce, les parties ont été informées que la cause était gardée à juger sur effet suspensif ; Considérant, en droit :</w:t>
      </w:r>
    </w:p>
    <w:p>
      <w:r>
        <w:t>que les décisions sur mesures provisionnelles sont prises par la présidente ou le vice-président de la chambre administrative ou, en cas d'empêchement de ceux-ci, par un autre juge (art. 21 al. 2 LPA et art. 9 al. 1 du règlement interne de la chambre administrative du 26 mai 2020) ;</w:t>
      </w:r>
    </w:p>
    <w:p>
      <w:r>
        <w:t>qu’aux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w:t>
      </w:r>
    </w:p>
    <w:p>
      <w:r>
        <w:t>que l’'autorité peut d'office ou sur requête ordonner des mesures provisionnelles en exigeant au besoin des sûretés (art. 21 al. 1 LPA)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w:t>
      </w:r>
    </w:p>
    <w:p>
      <w:r>
        <w:t>- 5/7 - A/4353/2021</w:t>
      </w:r>
    </w:p>
    <w:p>
      <w:r>
        <w:t>que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du Tribunal fédéral 8D_8/2020 du 6 juillet 2021 consid. 5.3 et les références citées) ;</w:t>
      </w:r>
    </w:p>
    <w:p>
      <w:r>
        <w:t>qu’en l’espèce, la qualification du courrier du 17 décembre 2021 de « décision » n’est à première vue pas évidente s’agissant, de prime abord, d’un acte d’organisation interne plus que d’une mesure disciplinaire déguisée à l’encontre du recourant ; que les tâches qui lui sont confiées ressortissent prima facie à sa sphère d’activité habituelle ; que le courrier litigieux relève notamment, parmi les deux motifs invoqués pour justifier le détachement de l’intéressé, l’objectif de préserver la personnalité de celui-ci, conformément à sa demande ; qu’il s’agit par ailleurs d’une obligation légale de l’employeur ; que la recevabilité du recours n’est dès lors pas manifeste ;</w:t>
      </w:r>
    </w:p>
    <w:p>
      <w:r>
        <w:t>qu’aucun document n’est versé à la procédure concernant la durée de l’absence du recourant en raison de son incapacité de travail ; qu’il n’est dès lors, de prime abord, pas établi qu’il y ait urgence à statuer avant qu’une décision au fond ne puisse être prononcée ;</w:t>
      </w:r>
    </w:p>
    <w:p>
      <w:r>
        <w:t>que, par ailleurs, même à considérer qu’il puisse s’agir d’une décision, sa qualification de décision incidente pourrait se poser notamment au vu du caractère</w:t>
      </w:r>
    </w:p>
    <w:p>
      <w:r>
        <w:t>- 6/7 - A/4353/2021 provisoire de la mesure ; que, dans ces conditions, la condition de l’existence d’un préjudice irréparable au sens de l’art. 57 let. c LPA n’apparaît pas remplie s’agissant d’une mesure provisoire ;</w:t>
      </w:r>
    </w:p>
    <w:p>
      <w:r>
        <w:t>qu’une pesée globale des intérêts en présence, soit celui du recourant à ne pas être provisoirement déplacé et celui de l’État au bon fonctionnement de Champ-Dollon, implique, prima facie, que l’intérêt public prime ;</w:t>
      </w:r>
    </w:p>
    <w:p>
      <w:r>
        <w:t>qu’au vu de ce qui précède, la requête en mesures provisionnelles sera rejetée en tant qu’elle est recevable ;</w:t>
      </w:r>
    </w:p>
    <w:p>
      <w:r>
        <w:t>que le sort des frais sera réservé jusqu'à droit jugé au fond. LA CHAMBRE ADMINISTRATIVE rejette, en tant qu’elle est recevable, la demande de mesures provisionnelles formée par Monsieur A______ contre le courrier du département de la sécurité, de la population et de la santé du 17 décembre 2021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la sécurité, de la population et de la santé.</w:t>
      </w:r>
    </w:p>
    <w:p>
      <w:r>
        <w:t>- 7/7 - A/4353/2021</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