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ATA/539/2024 vom 30. April 2024</w:t>
      </w:r>
    </w:p>
    <w:p>
      <w:r>
        <w:t>GE Cour de justice, 2024-04-30, FR</w:t>
      </w:r>
    </w:p>
    <w:p>
      <w:r>
        <w:rPr>
          <w:b/>
        </w:rPr>
        <w:t xml:space="preserve">Quelle: </w:t>
      </w:r>
      <w:r>
        <w:t>https://mcp.opencaselaw.ch/entscheid/ge_gerichte_ATA_539_2024</w:t>
      </w:r>
    </w:p>
    <w:p>
      <w:r>
        <w:t>FR: GE_GERICHTE ATA/539/2024 du 30 avril 2024</w:t>
      </w:r>
    </w:p>
    <w:p>
      <w:r>
        <w:t>IT: GE_GERICHTE ATA/539/2024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2</w:t>
      </w:r>
    </w:p>
    <w:p>
      <w:r>
        <w:t>Le recourant se prévaut de l’irrégularité de la notification de la décision entreprise.</w:t>
      </w:r>
    </w:p>
    <w:p>
      <w:r>
        <w:rPr>
          <w:b/>
        </w:rPr>
        <w:t>E. 2.1</w:t>
      </w:r>
    </w:p>
    <w:p>
      <w:r>
        <w:t>Selon l'art. 47 LPA, une notification irrégulière ne peut entraîner aucun préjudice pour les parties.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(MOOR/POLTIER, Droit administratif, volume II, 3e éd., 2011, p. 374). Aussi, la personne à qui l'acte n'a pas été notifié doit s'en prévaloir en temps utile, dès lors que, d'une manière ou d'une autre, elle est au courant de la situation ; attendre passivement serait contraire au principe de la bonne foi (arrêts du Tribunal fédéral 9C_202/2014 du 11 juillet 2014 consid. 4.2 et les références ; 8C_188/2007 du 4 mars 2008 consid. 4.1.2 et la référence).</w:t>
      </w:r>
    </w:p>
    <w:p>
      <w:r>
        <w:t>- 5/14 - A/3702/2023</w:t>
      </w:r>
    </w:p>
    <w:p>
      <w:r>
        <w:rPr>
          <w:b/>
        </w:rPr>
        <w:t>E. 2.2</w:t>
      </w:r>
    </w:p>
    <w:p>
      <w:r>
        <w:t>En l’occurrence, il n’est pas contesté que la décision litigieuse a été notifiée de manière irrégulière, puisqu’elle a été communiquée par voie électronique au recourant alors qu’elle aurait dû être adressée à son mandataire, auprès duquel il avait élu domicile. Cette irrégularité ne l’a toutefois pas empêché de prendre connaissance de la décision et de la contester dans le délai légal de recours. Il n’a donc subi aucun préjudice du fait que la notification était irrégulière, si bien qu’il ne saurait invoquer ce vice devant la chambre de céans. Son grief doit partant être rejeté.</w:t>
      </w:r>
    </w:p>
    <w:p>
      <w:r>
        <w:rPr>
          <w:b/>
        </w:rPr>
        <w:t>E. 3</w:t>
      </w:r>
    </w:p>
    <w:p>
      <w:r>
        <w:t>Invoquant une violation du principe de célérité, le recourant critique un retard injustifié de la part de l’autorité intimée.</w:t>
      </w:r>
    </w:p>
    <w:p>
      <w:r>
        <w:rPr>
          <w:b/>
        </w:rPr>
        <w:t>E. 3.1</w:t>
      </w:r>
    </w:p>
    <w:p>
      <w:r>
        <w:t>En vertu de l'art. 29 al. 1 de la Constitution fédérale de la Confédération suisse du 18 avril 1999 (Cst. - RS 101), toute personne a droit, dans une procédure judiciaire ou administrative, à ce que sa cause soit traitée équitablement et jugée dans un délai raisonnable (ATF 143 IV 373 consid. 1.3.1). Le caractère raisonnable du délai s'apprécie selon les circonstances particulières de la cause, compte tenu notamment de la complexité de l'affaire, du comportement du requérant et de celui des autorités compétentes, ainsi que de l'enjeu du litige pour l'intéressé (ATF 135 I 265 consid. 4.4; 130 IV 54 consid. 3.3.3). Peu importe les raisons du retard, un manque d'organisation ou une surcharge de travail n'empêchent pas de reprocher un retard injustifié. Le seul élément déterminant est que l'autorité n'agit pas dans les délais (ATF 144 II 486 consid. 3.2). Le Tribunal fédéral examine librement le point de savoir s'il y a déni de justice formel (ATF 144 II 184 consid. 3.1).</w:t>
      </w:r>
    </w:p>
    <w:p>
      <w:r>
        <w:rPr>
          <w:b/>
        </w:rPr>
        <w:t>E. 3.2</w:t>
      </w:r>
    </w:p>
    <w:p>
      <w:r>
        <w:t>Le droit de procédure genevois prévoit des délais dans lesquels les décisions sur réclamation et sur recours doivent être prises : en cas de réclamation, l'art. 52 LPA prévoit que la nouvelle décision doit être prise dans les 60 jours dès la réception de la réclamation (al. 1). Si les circonstances l'exigent, l'autorité respectivement les juridictions administratives peuvent statuer dans un délai plus long. Les parties doivent toutefois être informées par écrit de cet ajournement et de ses raisons avant l'expiration du premier délai (al. 2).</w:t>
      </w:r>
    </w:p>
    <w:p>
      <w:r>
        <w:rPr>
          <w:b/>
        </w:rPr>
        <w:t>E. 3.3</w:t>
      </w:r>
    </w:p>
    <w:p>
      <w:r>
        <w:t>Le délai de 60 jours est un délai d’ordre et sa violation n’a en principe aucune conséquence de ce seul fait (ATA/92/2009 du 24 février 2009 consid. 3 ; ATA/72/2008 du 19 février 2008 consid. 2 ; ATA/560/2006 du 17 octobre 2006 consid. 3). La véritable limite est en réalité l’interdiction du déni de justice (Romain JORDAN/Stéphane GRODECKI, Code annoté de procédure administrative genevoise, n. 629 ad art. 52 LPA).</w:t>
      </w:r>
    </w:p>
    <w:p>
      <w:r>
        <w:rPr>
          <w:b/>
        </w:rPr>
        <w:t>E. 3.4</w:t>
      </w:r>
    </w:p>
    <w:p>
      <w:r>
        <w:t>En l’occurrence, il est constant qu’en rendant sa décision sur opposition le 9 octobre 2023 alors que l’opposition avait été formée le 4 décembre 2020, l’autorité intimée n’a pas respecté le délai d’ordre de 60 jours prévu par l’art. 52 LPA. L’autorité a toutefois dûment informé le recourant dans le délai de 60 jours, soit le 6 janvier 2021, que la procédure durerait plus longtemps qu’usuellement au vu du nombre important de cas à traiter. Ce procédé, qui respecte l’art. 52 al. 2 LPA, n’est pas critiquable, étant précisé que les délais d’ordre n’ont pas pour vocation</w:t>
      </w:r>
    </w:p>
    <w:p>
      <w:r>
        <w:t>- 6/14 - A/3702/2023 d’entraîner la perte d’un droit en cas d’inobservation, mais d’assurer une procédure diligente et efficace. La seule limite est l’interdiction du déni de justice. Or, il ne saurait être question de déni de justice formel puisque l’autorité a statué sur l’opposition formée par le recourant, et cela, dans les deux semaines qui ont suivi le rappel du recourant du 27 septembre 2023. Le grief du recourant doit partant être écarté.</w:t>
      </w:r>
    </w:p>
    <w:p>
      <w:r>
        <w:rPr>
          <w:b/>
        </w:rPr>
        <w:t>E. 4</w:t>
      </w:r>
    </w:p>
    <w:p>
      <w:r>
        <w:t>Le litige porte sur la conformité au droit de la décision prononçant l'assujettissement du recourant à la TEO pour 2019.</w:t>
      </w:r>
    </w:p>
    <w:p>
      <w:r>
        <w:rPr>
          <w:b/>
        </w:rPr>
        <w:t>E. 4.1</w:t>
      </w:r>
    </w:p>
    <w:p>
      <w:r>
        <w:t>L’art. 59 Cst.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9C_94/2023 du 29 janvier 2024 consid. 5.1 ; 9C_648/2022 du 9 janvier 2024, destiné à la publication, consid. 3.1).</w:t>
      </w:r>
    </w:p>
    <w:p>
      <w:r>
        <w:rPr>
          <w:b/>
        </w:rPr>
        <w:t>E. 4.2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L’art. 3 aLTEO, en vigueur jusqu’au 31 décembre 2018 (RO 2010 6032), prévoyait que l’assujettissement à la taxe commençait au début de l’année en cours de laquelle la personne astreinte atteignait l’âge de 20 ans (al. 1). Il se terminait pour les personnes qui n’étaient pas incorporées dans une formation de l’armée et qui n’étaient pas astreintes au service civil, à la fin de l’année au cours de laquelle elles atteignaient l’âge de 30 ans (al. 2 let. a). L’art. 3 LTEO, dans sa version entrée en vigueur depuis le 1er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t>- 7/14 - A/3702/2023</w:t>
      </w:r>
    </w:p>
    <w:p>
      <w:r>
        <w:rPr>
          <w:b/>
        </w:rPr>
        <w:t>E. 5</w:t>
      </w:r>
    </w:p>
    <w:p>
      <w:r>
        <w:t>Dans un premier grief de fond, le recourant se plaint d’une violation de l’art. 2 al. 1 let. a LTEO. Naturalisé à l’âge de 30 ans, il ne pouvait plus participer au recrutement, et donc être intégré dans l’armée ou dans le service civil. Or, à défaut de pouvoir effectuer le service miliaire ou un service de remplacement, il ne pouvait être assujetti à la taxe d’exemption de servir pour la période litigieuse.</w:t>
      </w:r>
    </w:p>
    <w:p>
      <w:r>
        <w:rPr>
          <w:b/>
        </w:rPr>
        <w:t>E. 5.1</w:t>
      </w:r>
    </w:p>
    <w:p>
      <w:r>
        <w:t>Selon l’art. 9 LAAM, les conscrits participent au recrutement. Le Conseil fédéral peut prévoir des exceptions pour les cas manifestes d’inaptitude au service (al. 1). Les conscrits passent le recrutement au plus tôt au début de leur 19ème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 art. 49 al. 3 LAAM). Selon l’art. 13 al. 1 let. a LAAM, l’obligation de servir dans l’armée s’éteint pour les militaires de la troupe et les sous-officiers à la fin de la douzième année après l’achèvement de l’école de recrues. L’école de recrues commence au plus tôt trois mois et au plus tard douze mois après le recrutement. Le commandement de l’Instruction peut exceptionnellement prolonger ce délai si les besoins de l’armée l’exigent (art. 56 al. 1 OMi). L’art. 9 al. 3 LAAM est concrétisé par l’art. 12 OMi, selon lequel les conscrits sont convoqués au recrutement au plus tard dans l’année où ils atteignent l’âge de 24 ans (al. 1). À leur demande, le commandement de l’Instruction peut prévoir un recrutement ultérieur pour les Suisses qui n’ont pas été convoqués au recrutement jusqu’à la fin de l’année au cours de laquelle ils ont atteint l’âge de 24 ans ou qui n’ont pas fait l’objet d’une décision définitive quant à leur aptitude dans ce délai, pour autant que les conditions de l’art. 9 al. 3 de la LAAM soient remplies et que le besoin de l’armée soit avéré. La demande ne peut être déposée qu’une seule fois (al. 2).</w:t>
      </w:r>
    </w:p>
    <w:p>
      <w:r>
        <w:rPr>
          <w:b/>
        </w:rPr>
        <w:t>E. 5.2</w:t>
      </w:r>
    </w:p>
    <w:p>
      <w:r>
        <w:t>Dans l’arrêt 9C_648/2022 précité, le Tribunal fédéral a examiné la question de savoir si un citoyen suisse, naturalisé en 2017 à l’âge de 29 ans, n’ayant pas effectué de recrutement ultérieur, tombait sous l’application de l’art. 2 al. 1 let. a LTEO. Il a retenu que tel était le cas en l’occurrence, puisque le texte clair de cette disposition ne distinguait pas les situations qui avaient conduit à l’absence d’incorporation dans une formation de l’armée ou d’astreinte au service civil pendant plus de six mois. Le motif pour lequel la TEO devait être payée n’était ainsi pas déterminant (consid. 8.1). Cet arrêt a été confirmé par le Tribunal fédéral par arrêt du 25 janvier 2024 (9C_707/2022).</w:t>
      </w:r>
    </w:p>
    <w:p>
      <w:r>
        <w:rPr>
          <w:b/>
        </w:rPr>
        <w:t>E. 5.3</w:t>
      </w:r>
    </w:p>
    <w:p>
      <w:r>
        <w:t>En l’occurrence, il n’est pas contesté que le recourant, naturalisé suisse en 2017, n’a jamais fait de demande de recrutement ultérieur selon l’art. 12 al. 2 OMi. Il se trouve ainsi dans la même situation que celle à l’origine de l’arrêt 9C_648/2022, destiné à la publication, et confirmé par l’arrêt 9C_707/2022. Il convient donc d’appliquer cette jurisprudence récente et de retenir que le citoyen, naturalisé suisse</w:t>
      </w:r>
    </w:p>
    <w:p>
      <w:r>
        <w:t>- 8/14 - A/3702/2023 après l’âge jusqu’auquel un recrutement « ordinaire » est possible et n’ayant pas effectué de recrutement ultérieur, doit être considéré comme « tout homme astreint au service domicilié en Suisse, qui n’était pas, pendant plus de six mois, ni incorporé dans une formation de l’armée ni astreint au service civil » au sens de l’art. 2 al. 1 let. a LTEO. Seul est déterminant à cet égard le fait que le citoyen n’ait pas été incorporé dans une formation de l’armée ni astreint au service civil durant la période litigieuse. Le motif de l’absence d’incorporation n’a revanche aucune incidence sur l’assujettissement à la taxe. N’est pas non plus pertinent le fait qu’il n’avait jamais été « contacté » par les autorités militaires. Les dispositions précitées prévoient en effet clairement qu’il appartient au citoyen, du point de vue individuel, d’effectuer toutes les démarches visant à profiter de la possibilité d’effectuer un tel recrutement ultérieur. Le grief du recourant tiré de la violation de l’art. 2 al. 1 let. a LTEO doit partant être écarté.</w:t>
      </w:r>
    </w:p>
    <w:p>
      <w:r>
        <w:rPr>
          <w:b/>
        </w:rPr>
        <w:t>E. 6</w:t>
      </w:r>
    </w:p>
    <w:p>
      <w:r>
        <w:t>Le recourant invoque ensuite une violation du principe de non-rétroactivité des lois, faisant valoir que son assujettissement à la TEO en 2019 fait renaître une obligation qui était éteinte lors de sa naturalisation en 2017.</w:t>
      </w:r>
    </w:p>
    <w:p>
      <w:r>
        <w:rPr>
          <w:b/>
        </w:rPr>
        <w:t>E. 6.1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w:t>
      </w:r>
    </w:p>
    <w:p>
      <w:r>
        <w:t>- 9/14 - A/3702/2023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6.2</w:t>
      </w:r>
    </w:p>
    <w:p>
      <w:r>
        <w:t>Dans l’arrêt 9C_648/2022 précité, le Tribunal fédéral a rappelé qu'en matière de prélèvement de la LTEO, la taxe d'exemption de servir ne présentait pas les caractéristiques d'un état de fait durable (arrêt du Tribunal fédéral 2C_1005/2021 du 26 avril 2022 consid. 5.2). En effet, les éléments de base déterminants servant de fondement à la taxe d'exemption de servir étaient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limités dans le temps par celle-ci. La circonstance que les faits pertinents existaient encore à la fin de l'année d'assujettissement n’était pas déterminante, pas plus que les faits qui ne se produisaient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(arrêt du Tribunal fédéral 9C_648/2022 précité, consid. 7).</w:t>
      </w:r>
    </w:p>
    <w:p>
      <w:r>
        <w:rPr>
          <w:b/>
        </w:rPr>
        <w:t>E. 6.3</w:t>
      </w:r>
    </w:p>
    <w:p>
      <w:r>
        <w:t>Il en va en l’occurrence de même pour le recourant. En effet, l'application de la nouvelle LTEO dès l'année 2019 et l'assujettissement du recourant à la TEO qui en découle pour cette année-là ne constituent pas une application rétroactive de la loi. À l'instar de ce qui a été jugé dans l'affaire 9C_648/2022, les éléments de base déterminants servant de fondement à la TEO pour l'année 2019 se sont produits ou existaient cette année-là, soit sous l'empire de la nouvelle loi : le recourant, alors âgé de 30 ans, n'était ni incorporé dans une formation de l'armée, ni soumis à l'obligation de servir dans le civil, ni n'accomplissait du service militaire ou civil (art. 2 al. 1 let. a et 3 LTEO). Le fait que, sous l'ancien droit, il ne pouvait être assujetti lors sa naturalisation en 2017 parce qu'il avait déjà atteint l'âge de 30 ans, et qu'il a été soumis à nouveau, en vertu du nouveau droit, à l'obligation de payer la taxe d'exemption de servir ne constitue pas une application rétroactive de la loi (Louise BONADIO, Taxe militaire: les effets et les doutes autour de la loi sur la taxe d'exemption de l'obligation de servir, in Novità fiscali 7/2021 375, p. 377). L'élévation de la limite d'âge de 30 ans à l'âge de 37 ans se rapporte à l'âge actuel</w:t>
      </w:r>
    </w:p>
    <w:p>
      <w:r>
        <w:t>- 10/14 - A/3702/2023 de la personne concernée dans l'année considérée, de sorte qu'il n'y a pas de rétroactivité à cet égard. C’est ainsi en vain que le recourant affirme que son assujettissement à la taxe était « définitivement terminé ». Le grief tiré de la non-rétroactivité des lois doit partant être rejeté.</w:t>
      </w:r>
    </w:p>
    <w:p>
      <w:r>
        <w:rPr>
          <w:b/>
        </w:rPr>
        <w:t>E. 7</w:t>
      </w:r>
    </w:p>
    <w:p>
      <w:r>
        <w:t>Le recourant considère que la décision litigieuse consacre une discrimination quant à l’origine, l’âge et le sexe, incompatible avec les art. 8 Cst. et 14 de la Convention de sauvegarde des droits de l’homme et des libertés fondamentales du 4 novembre 1950 (CEDH - RS 0.101).</w:t>
      </w:r>
    </w:p>
    <w:p>
      <w:r>
        <w:rPr>
          <w:b/>
        </w:rPr>
        <w:t>E. 7.1</w:t>
      </w:r>
    </w:p>
    <w:p>
      <w:r>
        <w:t>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 ATF 139 I 257 consid. 5.2.1 ; arrêts du Tribunal fééral 2C_396/2012 du 23 novembre 2012 consid. 2.3 ; 9C_521/2008 du 5 octobre 2009 consid. 4.2).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avec l'art. 8 CEDH (arrêt Glor</w:t>
      </w:r>
    </w:p>
    <w:p>
      <w:r>
        <w:t>- 11/14 - A/3702/2023 précité, par. 97 s.; aussi arrêt du Tribunal fédéral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(arrêt Glor précité, par. 94; voir aussi arrêt du Tribunal fédéral 2C_170/2016 précité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(arrêt Glor précité, par. 96 ; arrêt du Tribunal fédéral 2C_170/2016 précité consid. 6.1 et les références citées). 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par. 61 et 62). Le Tribunal fédéral a jugé à plusieurs reprises qu'il n'était pas possible pour un intéressé de se prévaloir d’une violation des art. 8 et 14 CEDH en lien avec l'arrêt Glor précité, dans l'hypothèse où celui-ci ne s'était pas montré actif pour effectuer un service militaire ou un service civil (arrêts du Tribunal fédéral 9C_548/2022 précité consid. 8.2.2 ; 2C_170/2016 précité consid. 6.3 ; 2C_924/2012 du 29 avril 2013 consid. 5.1 ; 2C_396/2012 du 23 novembre 2012 consid. 4.3.1 ; 2C_285/2011 du 1er décembre 2011 consid. 4.3.2). La problématique du service civil a été toutefois traitée différemment par la chambre de céans dans le cas d’une personne jugée inapte au service militaire et à la protection civile dans un récent arrêt, non définitif (ATA/502/2024) du 23 avril 2024.</w:t>
      </w:r>
    </w:p>
    <w:p>
      <w:r>
        <w:rPr>
          <w:b/>
        </w:rPr>
        <w:t>E. 7.2</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D'après l'art. 8 al. 3 Cst. (qui concrétise la clause interdisant toute discrimination notamment basée sur le sexe, ancrée à l'art. 8 al. 2 Cst.), l'homme et la femme sont égaux en droit; la loi pourvoit à l'égalité de droit et de fait, en particulier dans les domaines de la famille, de la formation et du travail; l'homme et la femme ont droit à un salaire égal pour un travail de valeur égale. Bien que l'art. 8 al. 3, 2e phr., Cst. ne s'adresse formellement qu'au législateur, cet article oblige aussi les autorités d'application du droit (administration, juges) à</w:t>
      </w:r>
    </w:p>
    <w:p>
      <w:r>
        <w:t>- 12/14 - A/3702/2023 contribuer, dans les limites de leurs attributions, à la mise en œuvre de l'égalité entre les sexes (ATF 140 I 201 6.4.2 et les nombreuses références citées). Cette disposition entre en conflit avec l'art. 59 al. 3 Cst. qui, comme il a déjà été exposé (supra consid. 4.1), prévoit notamment que tout homme de nationalité suisse qui n'accomplit pas son service militaire ou son service de remplacement s'acquitte d'une taxe. Or, selon la jurisprudence constante du Tribunal fédéral, l'art. 59 al. 3 Cst. prime, en tant que lex specialis, sur le principe général d'égalité de traitement de l’art. 8 Cst. Le fait que seuls les hommes de nationalité suisse soient astreints au paiement de la taxe d'exemption a ainsi été jugé conforme à la Cst. (arrêts du Tribunal fédéral 2C_170/2016 du 23 décembre 2016 consid. 7.2 ; 8C_232/2014 du 21 avril 2015 consid. 5.2.3 ; 2C_221/2009 du 21 janvier 2010 consid. 2.1 ; 2A.47/2002 du 23 mai 2002 consid. 2.2).</w:t>
      </w:r>
    </w:p>
    <w:p>
      <w:r>
        <w:rPr>
          <w:b/>
        </w:rPr>
        <w:t>E. 7.3</w:t>
      </w:r>
    </w:p>
    <w:p>
      <w:r>
        <w:t>En l’occurrence, le recourant ne saurait se prévaloir d’une discrimination des personnes naturalisées après l’âge jusqu’auquel un recrutement « ordinaire » est possible. Il n’est en effet pas contesté que le recourant n’a jamais effectué de demande de recrutement ultérieur selon l’art. 12 al. 2 OMi, ce qui lui aurait permis, le cas échéant, d’accomplir un service militaire ou un service civil. Partant, et conformément à la jurisprudence récente du Tribunal fédéral, rappelée à plusieurs reprises à la suite de l’arrêt Glor, le recourant n'a pas effectué, du point de vue individuel, toutes les démarches visant à profiter de la possibilité d'effectuer un tel recrutement ultérieur, de sorte qu'il ne peut pas se plaindre d'une discrimination fondée sur les art. 8 Cst., ainsi que 8 et 14 CEDH et l'arrêt de la CourEDH Glor précité. Le fait que la possibilité d’effectuer un service miliaire suite à une demande fondée sur l’art. 12 OMi est liée aux besoins de l’armée ne change rien au fait qu’une telle possibilité a été prévue par le législateur et que le recourant n’a pas essayé de la mettre en œuvre. Enfin, en tant qu’il se plaint de ce que son « équivalent féminin » n’est pas assujetti à la taxe, force est de rappeler que, selon la jurisprudence constante du Tribunal fédéral, le fait que seuls les hommes de nationalité suisse soient astreints au paiement de la taxe d'exemption a été jugé conforme à la Constitution. Il n’y a pas lieu de revenir sur cette jurisprudence. La décision de taxation 2019 est en conséquence conforme au droit. Mal fondé, le recours sera rejeté.</w:t>
      </w:r>
    </w:p>
    <w:p>
      <w:r>
        <w:rPr>
          <w:b/>
        </w:rPr>
        <w:t>E. 8</w:t>
      </w:r>
    </w:p>
    <w:p>
      <w:r>
        <w:t>Vu l’issue du litige, un émolument de CHF 200.- sera mis à la charge du recourant, qui succombe, et aucune indemnité de procédure ne lui sera allouée (art. 87 LPA et 31 al. 2 et 2bis LTEO).</w:t>
      </w:r>
    </w:p>
    <w:p>
      <w:r>
        <w:t>* * * * *</w:t>
      </w:r>
    </w:p>
    <w:p>
      <w:r>
        <w:t>- 13/14 - A/3702/2023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