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ATA/539/2020 vom 29. Mai 2020</w:t>
      </w:r>
    </w:p>
    <w:p>
      <w:r>
        <w:t>GE Cour de justice, 2020-05-29, FR</w:t>
      </w:r>
    </w:p>
    <w:p>
      <w:r>
        <w:rPr>
          <w:b/>
        </w:rPr>
        <w:t xml:space="preserve">Quelle: </w:t>
      </w:r>
      <w:r>
        <w:t>https://mcp.opencaselaw.ch/entscheid/ge_gerichte_ATA_539_2020</w:t>
      </w:r>
    </w:p>
    <w:p>
      <w:r>
        <w:t>FR: GE_GERICHTE ATA/539/2020 du 29 mai 2020</w:t>
      </w:r>
    </w:p>
    <w:p>
      <w:r>
        <w:t>IT: GE_GERICHTE ATA/539/2020 del 29 maggio 2020</w:t>
      </w:r>
    </w:p>
    <w:p>
      <w:pPr>
        <w:pStyle w:val="Heading2"/>
      </w:pPr>
      <w:r>
        <w:t>Regeste</w:t>
      </w:r>
    </w:p>
    <w:p>
      <w:r>
        <w:t>Résumé: En raison de la situation scolaire de l'aînée, âgée de 13 ans, qui obtient d'excellentes notes, et du fait qu'elle est en période d'adolescence, période importante pour le développement et l'intégration d'un individu, la situation des recourants doit être considérée comme constitutive de raisons personnelles majeures. Recours admis.</w:t>
      </w:r>
    </w:p>
    <w:p>
      <w:pPr>
        <w:pStyle w:val="Heading2"/>
      </w:pPr>
      <w:r>
        <w:t>Erwägungen</w:t>
      </w:r>
    </w:p>
    <w:p>
      <w:r>
        <w:rPr>
          <w:b/>
        </w:rPr>
        <w:t>E. 27</w:t>
      </w:r>
    </w:p>
    <w:p>
      <w:r>
        <w:t>juillet 2017, de sorte que c'est l'ancien droit, soit la LEI et l'OASA dans leur teneur avant le 1er janvier 2019, qui s'appliquent. 5) a. Selon l'art. 48 al. 1 LPA, les demandes en reconsidération de décisions prises par les autorités administratives sont recevables lorsqu'un motif de révision au sens de l'art. 80 let. a et b LPA existe (let. a) ou, alternativement, lorsque les</w:t>
      </w:r>
    </w:p>
    <w:p>
      <w:r>
        <w:t>- 11/19 - A/451/2019 circonstances se sont modifiées dans une mesure notable depuis la première décision (let. b). À teneur de l'al. 2, les demandes n'entraînent ni interruption de délai ni effet suspensif.</w:t>
      </w:r>
    </w:p>
    <w:p>
      <w:r>
        <w:t>b.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ATA/245/2020 du 3 mars 2020 consid. 2b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(ATA/245/2020 précité consid. 2b ; ATA/830/2016 du 4 octobre 2016 consid. 2a).</w:t>
      </w:r>
    </w:p>
    <w:p>
      <w:r>
        <w:t>Une activité professionnelle récente au sein d'une association ou une mauvaise situation de santé non étayée par des certificats médicaux actualisés, alors que les maux dont le recourant se prévaut impliquent une prise en charge dans la durée, ne sont pas des faits nouveaux au sens de cette disposition (ATA/291/2017 du 14 mars 2017 consid. 5).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(ATA/245/2020 précité consid. 2b ; ATA/1818/2019 du 17 décembre 2019 consid. 2b ; ATA/1620/2019 précité consid. 3a). Un changement de législation peut fonder le réexamen d'une décision, à condition que l'état de fait déterminant se soit essentiellement modifié après le changement législatif (ATF 136 II 177 consid. 2.2.1).</w:t>
      </w:r>
    </w:p>
    <w:p>
      <w:r>
        <w:t>c. Une demande de reconsidération ne doit pas permettre de remettre continuellement en cause des décisions entrées en force et d'éluder les dispositions légales sur les délais de recours (ATF 136 II 177 consid. 2.1 ;</w:t>
      </w:r>
    </w:p>
    <w:p>
      <w:r>
        <w:t>- 12/19 - A/451/2019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L'autorité administrative qui a pris une décision entrée en force n'est obligée de la reconsidérer que si sont réalisées les conditions de l'art. 48 al. 1 LPA.</w:t>
      </w:r>
    </w:p>
    <w:p>
      <w:r>
        <w:t>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ATA/1412/2017 du 17 octobre 2017 consid. 4c). 6) a. Dans leur demande de reconsidération du 26 juillet 2017, complétée le 7 décembre 2018, les recourants font valoir comme éléments justifiant, selon eux, la reconsidération de la décision du 3 juillet 2014 notamment la nouvelle pratique administrative liée à l'opération « Papyrus ».</w:t>
      </w:r>
    </w:p>
    <w:p>
      <w:r>
        <w:t>b. Toutefois et contrairement à ce que soutiennent les recourants et selon la jurisprudence constante de la chambre administrative, la mise en œuvre du programme Papyrus ne constitue pas un fait nouveau au sens de l'art. 48 al. 1 let. b LPA (ATA/245/2020 précité consid. 3b et les arrêts cités).</w:t>
      </w:r>
    </w:p>
    <w:p>
      <w:r>
        <w:t>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En soi, l'existence de l'opération « Papyrus », qui constitue une concrétisation des critères légaux en vigueur pour l'examen des cas individuels</w:t>
      </w:r>
    </w:p>
    <w:p>
      <w:r>
        <w:t>- 13/19 - A/451/2019 d'extrême gravité (ATA/1415/2019 du 24 septembre 2019 consid. 9b), ne saurait ainsi justifier l'entrée en matière sur la demande de reconsidération. 7)</w:t>
      </w:r>
    </w:p>
    <w:p>
      <w:r>
        <w:t>Les recourants font également valoir que leur situation personnelle aurait changé de manière notable, au point qu'il s'imposerait d'entrer en matière sur leur demande.</w:t>
      </w:r>
    </w:p>
    <w:p>
      <w:r>
        <w:t>a. En l'occurrence, le fait que le recourant exerce en indépendant ne peut être qualifié de notable, car il ne peut être considéré que son entreprise individuelle créée en 2017, active dans la menuiserie, représenterait un intérêt économique tel pour le canton ou la Confédération qu'il justifierait le maintien en Suisse du recourant et de sa famille.</w:t>
      </w:r>
    </w:p>
    <w:p>
      <w:r>
        <w:t>Quant à l'accident professionnel de la recourante ayant causé des lésions importantes de l'épaule gauche (fine fissuration non transfixiante sur le versant profond du tendon supra-épineux dans son tiers moyen), les recourants ont précisé que leur assurance avait estimé que l'intéressée pourrait exercer à nouveau une activité lucrative. Ce fait ne peut donc pas être qualifié de notable, étant relevé que la recourante pourrait en outre se faire suivre au Kosovo, en cas de besoin.</w:t>
      </w:r>
    </w:p>
    <w:p>
      <w:r>
        <w:t>Par ailleurs, les recourants font toujours l'objet de poursuites et il semble qu'une procédure pénale ait été engagée à la suite de production de fausses attestations de non-poursuite.</w:t>
      </w:r>
    </w:p>
    <w:p>
      <w:r>
        <w:t>S'agissant d'E______, né postérieurement à l'entrée en force de la décision du 3 juillet 2014, il est encore très jeune et n'a pas encore commencé l'école obligatoire. Il n'apparaît pas non plus qu'il ne pourrait pas être pris en charge médicalement au Kosovo pour les contrôles qu'il doit subir. Quant à C______ et D______, âgées de 10 et 7 ans, elles demeurent également encore jeunes.</w:t>
      </w:r>
    </w:p>
    <w:p>
      <w:r>
        <w:t>Ces éléments vont dans le sens de la décision de l'OCPM de ne pas entrer en matière sur la demande en reconsidération.</w:t>
      </w:r>
    </w:p>
    <w:p>
      <w:r>
        <w:t>b. Toutefois, il ressort également de la décision de l'OCPM du 19 décembre 2018 que l'intimé s'est également déterminé sur le courrier des recourants du 7 décembre 2018 visant à obtenir une autorisation de séjour pour cas de rigueur. En effet, il a estimé que leurs observations n'étaient pas de nature à faire changer sa position.</w:t>
      </w:r>
    </w:p>
    <w:p>
      <w:r>
        <w:t>Dans ce contexte, la situation d'B______, née le 16 novembre 2006, doit être examinée avec attention.</w:t>
      </w:r>
    </w:p>
    <w:p>
      <w:r>
        <w:t>c. En effet,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w:t>
      </w:r>
    </w:p>
    <w:p>
      <w:r>
        <w:t>- 14/19 - A/451/2019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Cette pratique différenciée réalise la prise en compte de l'intérêt supérieur de l'enfant, telle qu'elle est prescrite par l'art. 3 al. 1 de la Convention relative aux droits de l'enfant du 20 novembre 1989 (CDE - RS 0.107), entrée en vigueur pour la Suisse le 26 mars 1997 (arrêt du Tribunal administratif fédéral C-636/2010 précité consid. 5.4 et les références citées).</w:t>
      </w:r>
    </w:p>
    <w:p>
      <w:r>
        <w:t>Sous l'angle du cas de rigueur, le Tribunal fédéral a considéré que cette pratique différenciée réalisait la prise en compte de l'intérêt supérieur de l'enfant, telle qu'elle est prescrite par l'art. 3 al. 1 CDE (arrêts du Tribunal fédéral 2A.679/2006 du 9 février 2007 consid. 3 et 2A.43/2006 du 31 mai 2006 consid. 3.1 ; arrêt du Tribunal administratif fédéral C-3592/2010 du 8 octobre 2012 consid. 6.2 ; ATA/1818/2019 précité consid. 4f).</w:t>
      </w:r>
    </w:p>
    <w:p>
      <w:r>
        <w:t>- 15/19 - A/451/2019</w:t>
      </w:r>
    </w:p>
    <w:p>
      <w:r>
        <w:t>d. Dans une jurisprudence récente, qui concernait également une problématique de demande de reconsidération en matière de droit des étrangers (ATA/1818/2019 précité), la chambre de céans a considéré qu'un départ dans leur pays d'origine présenterait pour deux enfants une rigueur excessive et équivaudrait à un véritable déracinement dans un pays étranger, ce qui leur serait particulièrement dommageable. L'un des deux enfants était arrivé en Suisse à l'âge de 7 ans. Désormais âgé de 13 ans, il était un élève studieux et obtenait de bons résultats à l'école. Le dossier était renvoyé à l'OCPM pour qu'il le transmette au secrétariat d'État aux migrations (ci-après : SEM) en vue d'une régularisation de la situation des enfants, les critères exigés pour l'admission de cas individuels d'extrême gravité, étant remplis.</w:t>
      </w:r>
    </w:p>
    <w:p>
      <w:r>
        <w:t>e. En l'occurrence, B______ est arrivée en Suisse un peu avant ses 2 ans, avec sa mère qui rejoignait son mari. Aujourd'hui âgée de 13 ans, elle poursuit sa scolarité au cycle d'orientation de G______ en 9ème année. Il ne s'agit donc pas d'un enfant en bas âge, en début de scolarité, fréquentant une garderie ou l'école enfantine.</w:t>
      </w:r>
    </w:p>
    <w:p>
      <w:r>
        <w:t>B______ est une élève studieuse et obtient d'excellentes notes. Ses résultats ont d'ailleurs motivé une réorientation dans le niveau supérieur (R3), soit le plus haut niveau de la 9ème année du cycle d'orientation (art. 20 al. 1 du règlement du cycle d’orientation du 9 juin 2010 - RCO - C 1 10.26). Son maître de classe, dans une attestation du 12 décembre 2019, a relevé sa motivation, son assiduité, son application dans l'apprentissage, ainsi que son comportement exemplaire. Âgée de 13 ans, la jeune fille a d'ores et déjà débuté son adolescence en Suisse, étant rappelé qu'il s'agit d'une période importante pour le développement et l'intégration d'un individu. B______ est ainsi totalement intégrée en Suisse, où sa personnalité s'est formée et a évolué au fil du temps depuis son jeune âge. Elle a d'ailleurs précisé en audience avoir grandi à Genève, se sentant « d'ici ». En cas de départ au Kosovo, B______ verrait donc sa formation interrompue à un stade délicat et devrait se réadapter au système scolaire d'un pays où elle n'a aucun lien et repère, et dont les conditions de vie lui sont désormais étrangères, étant au surplus rappelé qu'elle avait quitté ce pays alors même qu'elle n'avait pas encore commencé sa scolarité. À plus long terme, son renvoi serait de nature à remettre en cause ses acquis et à compromettre sérieusement toute future formation professionnelle. Ces circonstances permettent d'admettre qu'un départ au Kosovo présenterait pour B______ une rigueur excessive et équivaudrait à un véritable déracinement, ce qui lui serait particulièrement dommageable.</w:t>
      </w:r>
    </w:p>
    <w:p>
      <w:r>
        <w:t>Ces circonstances particulières, prises dans leur ensemble, sont de nature à faire admettre que les conditions relatives à l'art. 30 al. 1 let. b LEI dans son ancienne teneur pourraient être réalisées pour B______.</w:t>
      </w:r>
    </w:p>
    <w:p>
      <w:r>
        <w:t>Dès lors que le sort de la famille forme un tout, le cas des recourants et de leurs enfants doit être considéré comme constitutif de raisons personnelles</w:t>
      </w:r>
    </w:p>
    <w:p>
      <w:r>
        <w:t>- 16/19 - A/451/2019 majeures, étant précisé que même si l'intégration des parents n'est en tant que telle pas exceptionnelle, elle est cependant suffisante, dans le cadre d'une appréciation globale, pour faire prévaloir l'intérêt d'B______ à rester en Suisse avec ses parents et ses frères et sœurs (art. 3 al. 1 CDE et art. 8 de la Convention de sauvegarde des droits de l'homme et des libertés fondamentales du 4 novembre 1950 - CEDH - RS 0.101). 8)</w:t>
      </w:r>
    </w:p>
    <w:p>
      <w:r>
        <w:t>Les considérants qui précèdent conduisent à l'admission du recours. Le jugement du TAPI du 11 octobre 2019 sera en conséquence annulé, de même que la décision de l'OCPM du 19 décembre 2018. 9)</w:t>
      </w:r>
    </w:p>
    <w:p>
      <w:r>
        <w:t>Les critères des art. 30 al. 1 let. b LEI et 31 al. 1 aOASA impliquant une situation représentant un cas individuel d'extrême gravité pouvant être remplis, le dossier sera renvoyé à l'OCPM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 ordonnance du DFJP - RS 142.201.1). 10) Vu l'issue du litige, aucun émolument ne sera perçu (art. 87 al. 1 LPA), et une indemnité de procédure de CHF 1'500.- sera allouée aux recourants à la charge de l'État de Genève (OCPM), qui obtiennent gain de cause et qui y ont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