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ATA/538/2025 vom 13. Mai 2025</w:t>
      </w:r>
    </w:p>
    <w:p>
      <w:r>
        <w:t>GE Cour de justice, 2025-05-13, FR</w:t>
      </w:r>
    </w:p>
    <w:p>
      <w:r>
        <w:rPr>
          <w:b/>
        </w:rPr>
        <w:t xml:space="preserve">Quelle: </w:t>
      </w:r>
      <w:r>
        <w:t>https://mcp.opencaselaw.ch/entscheid/ge_gerichte_ATA_538_2025</w:t>
      </w:r>
    </w:p>
    <w:p>
      <w:r>
        <w:t>FR: GE_GERICHTE ATA/538/2025 du 13 mai 2025</w:t>
      </w:r>
    </w:p>
    <w:p>
      <w:r>
        <w:t>IT: GE_GERICHTE ATA/538/2025 del 13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w:t>
      </w:r>
    </w:p>
    <w:p>
      <w:r>
        <w:t>- 5/7 - A/3813/2022 1985 - LPA - E 5 10 ; art. 7 al. 2 de la loi de procédure fiscale du 4 octobre 2001 - LPFisc - D 3 17).</w:t>
      </w:r>
    </w:p>
    <w:p>
      <w:r>
        <w:rPr>
          <w:b/>
        </w:rPr>
        <w:t>E. 2</w:t>
      </w:r>
    </w:p>
    <w:p>
      <w:r>
        <w:t>Vu les circonstances susmentionnées, il convient d’identifier l’objet du litige.</w:t>
      </w:r>
    </w:p>
    <w:p>
      <w:r>
        <w:rPr>
          <w:b/>
        </w:rPr>
        <w:t>E. 2.1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(ATA/1301/2020 précité consid. 2b).</w:t>
      </w:r>
    </w:p>
    <w:p>
      <w:r>
        <w:rPr>
          <w:b/>
        </w:rPr>
        <w:t>E. 2.2</w:t>
      </w:r>
    </w:p>
    <w:p>
      <w:r>
        <w:t>Compte tenu des écritures des parties postérieures à l’arrêt du Tribunal fédéral 9C_305/2023 précité, la chambre administrative constate ce qui suit. D’une part, les parties s’accordent sur le fait de modifier la taxation ICC de 2021 de la recourante sous l’angle de l’impôt sur la fortune et de l’impôt immobilier complémentaire, en ce sens que la valeur de l’immeuble grevé du droit d’habitation n’est pas prise en compte dans la taxation de la recourante, titulaire du droit d’habitation, mais qu’elle est exclusivement imposable auprès du nouveau propriétaire dudit immeuble. Cette approche est conforme à l’arrêt du Tribunal fédéral 9C_305/2023 précité auquel il est expressément renvoyé. D’autre part et sous l’angle de l’impôt ICC et IFD sur le revenu, la recourante réduit ses conclusions dans sa dernière écriture consécutive audit arrêt fédéral et à la détermination de l’AFC, en ce sens qu’elle ne remet plus en cause le fait d’être imposée sur la valeur locative liée à l’immeuble qu’elle occupe en vertu du droit d’habitation. Cela a pour conséquence de réduire l’objet du litige qui ne porte plus que sur l’ICC de 2021, sous l’angle de l’impôt sur la fortune et de l’impôt immobilier complémentaire. Dans ces circonstances et compte tenu de l’effet dévolutif du recours (art. 67 al. 1 LPA), la chambre administrative, liée par les conclusions des parties (art. 69 al. 1 phr. 1 LPA), annule partiellement le jugement querellé en tant qu’il porte sur l’impôt ICC sur la fortune et l’impôt immobilier complémentaire, ainsi que les décisions de taxation y relatives, et renvoie la présente cause à l’AFC pour nouvelle décision dans le sens du présent considérant. Le recours doit donc être admis.</w:t>
      </w:r>
    </w:p>
    <w:p>
      <w:r>
        <w:t>- 6/7 - A/3813/2022</w:t>
      </w:r>
    </w:p>
    <w:p>
      <w:r>
        <w:rPr>
          <w:b/>
        </w:rPr>
        <w:t>E. 3</w:t>
      </w:r>
    </w:p>
    <w:p>
      <w:r>
        <w:t>Vu l’issue du litige, aucun émolument ne sera perçu (art. 87 al. 1 LPA). Une indemnité de procédure de CHF 1'000.- sera allouée à la recourante qui, représentée par un conseil, obtient gain de cause sur ses dernières conclusions,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