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ATA/538/2018 vom 30. Mai 2018</w:t>
      </w:r>
    </w:p>
    <w:p>
      <w:r>
        <w:t>GE Cour de justice, 2018-05-30, FR</w:t>
      </w:r>
    </w:p>
    <w:p>
      <w:r>
        <w:rPr>
          <w:b/>
        </w:rPr>
        <w:t xml:space="preserve">Quelle: </w:t>
      </w:r>
      <w:r>
        <w:t>https://mcp.opencaselaw.ch/entscheid/ge_gerichte_ATA_538_2018</w:t>
      </w:r>
    </w:p>
    <w:p>
      <w:r>
        <w:t>FR: GE_GERICHTE ATA/538/2018 du 30 mai 2018</w:t>
      </w:r>
    </w:p>
    <w:p>
      <w:r>
        <w:t>IT: GE_GERICHTE ATA/538/2018 del 30 maggio 2018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(LPA-GE - E 5 10), doit être déclaré irrecevable, conformément à l'art. 86 al. 2 LPA ;</w:t>
      </w:r>
    </w:p>
    <w:p>
      <w:r>
        <w:t>qu'au vu de cette issue et conformément à sa pratique, la chambre administrative renoncera à percevoir un émolument.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