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ATA/536/2017 vom 9. Mai 2017</w:t>
      </w:r>
    </w:p>
    <w:p>
      <w:r>
        <w:t>GE Cour de justice, 2017-05-09, FR</w:t>
      </w:r>
    </w:p>
    <w:p>
      <w:r>
        <w:rPr>
          <w:b/>
        </w:rPr>
        <w:t xml:space="preserve">Quelle: </w:t>
      </w:r>
      <w:r>
        <w:t>https://mcp.opencaselaw.ch/entscheid/ge_gerichte_ATA_536_2017</w:t>
      </w:r>
    </w:p>
    <w:p>
      <w:r>
        <w:t>FR: GE_GERICHTE ATA/536/2017 du 9 mai 2017</w:t>
      </w:r>
    </w:p>
    <w:p>
      <w:r>
        <w:t>IT: GE_GERICHTE ATA/536/2017 del 9 maggio 2017</w:t>
      </w:r>
    </w:p>
    <w:p>
      <w:pPr>
        <w:pStyle w:val="Heading2"/>
      </w:pPr>
      <w:r>
        <w:t>Regeste</w:t>
      </w:r>
    </w:p>
    <w:p>
      <w:r>
        <w:t>Résumé: Violation de la LTaxis en matière de fixation de prix lors de l'utilisation de l'application Uber en raison du dépassement de la limite supérieure de la fourchette annoncée lors du paiement effectif du prix. Confirmation de l'amende. Rejet du recours.</w:t>
      </w:r>
    </w:p>
    <w:p>
      <w:pPr>
        <w:pStyle w:val="Heading2"/>
      </w:pPr>
      <w:r>
        <w:t>Erwägungen</w:t>
      </w:r>
    </w:p>
    <w:p>
      <w:r>
        <w:rPr>
          <w:b/>
        </w:rPr>
        <w:t>E. 12</w:t>
      </w:r>
    </w:p>
    <w:p>
      <w:r>
        <w:t>septembre 1985 - LPA - E 5 10).</w:t>
      </w:r>
    </w:p>
    <w:p>
      <w:r>
        <w:t>- 8/14 - A/1763/2015 2)</w:t>
      </w:r>
    </w:p>
    <w:p>
      <w:r>
        <w:t>Le présent litige porte sur l’amende de CHF 400.- infligée au recourant et l’avertissement selon lequel, en cas de récidive, une interdiction d’exercer du transport professionnel de personnes sur le territoire genevois serait prononcée à son encontre, tous deux objets de la décision litigieuse. Celle-ci porte sur des faits résultant de l’intervention d’un collaborateur de la société C______, effectuée sur demande du service dont le but était de comprendre le fonctionnement de la société Uber et celui de l’application proposée par celle-ci. 3)</w:t>
      </w:r>
    </w:p>
    <w:p>
      <w:r>
        <w:t>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notamment l’absence de connaissance du mandat passé entre le service et la société C______,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société C______ sur cette question. Par conséquent, le droit d’être entendu du recourant n’a pas été violé s’agissant de la motivation et des pièces fondant la décision litigieuse.</w:t>
      </w:r>
    </w:p>
    <w:p>
      <w:r>
        <w:t>En ce qui concerne la modification dans la désignation des infractions reprochées au recourant entre l’envoi du courrier du 24 mars 2015 - qui n’avait pas été réclamé par l’intéressé et avait été retourné au service le 2 avril 2015 - et celui de la décision litigieuse, il y a effectivement une violation du droit d’être entendu du recourant qui n’a pas pu s’exprimer sur les faits qui lui étaient reprochés. Cependant, dans le cas d’espèce, ce vice formel a été réparé dans le cadre de la présente procédure de recours au cours de laquelle l’intéressé a pu</w:t>
      </w:r>
    </w:p>
    <w:p>
      <w:r>
        <w:t>- 9/14 - A/1763/2015 exposer sa position et ses griefs limités à des questions de fait et de droit entrant dans le pouvoir d’examen de la chambre de céans (art. 61 al. 1 LPA). 5)</w:t>
      </w:r>
    </w:p>
    <w:p>
      <w:r>
        <w:t>Il y a lieu de vérifier si le recourant a violé les art. 3 al. 4 et art. 42 al. 6 LTaxis lors de la course litigieuse.</w:t>
      </w:r>
    </w:p>
    <w:p>
      <w:r>
        <w:t>a. Selon l’art. 42 al. 6 LTaxis, les tarifs des limousines sont fixés librement entre l’exploitant et le client par entente préalable. L’art. 3 al. 4 LTaxis dispose que sont considérés comme des « limousines » les voitures automobiles définies à l’alinéa premier servant au transport professionnel de personnes qui ne sont pas affectées au service de taxi et sont mises par réservation préalable à la disposition de clients pour une période de temps, contre rémunération selon des conditions fixées à l’avance entre les parties.</w:t>
      </w:r>
    </w:p>
    <w:p>
      <w:r>
        <w:t>b. D’après le rapport relatif à ladite course rédigé par le collaborateur de la société C______ et ses annexes, qui fondent la violation reprochée au recourant, ainsi que l’audition dudit collaborateur devant le juge délégué, il ressort qu’une fourchette de prix située entre CHF 18.- et CHF 23.- a été annoncée au client par l’application Uber. Or, celui-ci a payé la somme de CHF 25.- pour la course litigieuse, et ce malgré la fourchette annoncée. Dans la mesure où la fourchette de prix convenue avant ladite course a été dépassée lors du paiement effectif de celle-ci, l’intéressé n’a pas respecté l’art. 42 al. 6 LTaxis. Sur ce point, le recours doit donc être rejeté et la décision litigieuse confirmée.</w:t>
      </w:r>
    </w:p>
    <w:p>
      <w:r>
        <w:t>Contrairement à ce que semble laisser entendre le service, l’art. 3 al. 4 LTaxis ne pose pas d’obligations particulières relatives à la fixation du prix d’un service de limousine et va dans le même sens que l’art. 42 al. 6 LTaxis, à savoir la libre entente préalable sur le prix entre les parties. Le fait que le client ait indiqué, lors de la commande de la course litigieuse, les lieux de départ et d’arrivée du déplacement sollicité soulève la question de savoir si le véhicule utilisé par le recourant est une limousine au sens de l’art. 3 al. 4 LTaxis. Il en va de même de la tarification que le service attribue à l’application Uber, à savoir une prise en charge de CHF 4.-, un tarif de CHF 0.40 par minute et de CHF 2.20 par kilomètre. Dans la mesure où il n’est pas contesté que le véhicule en cause n’était pas un taxi et qu’il a servi à un transport professionnel de personne, il entre, par défaut et conformément à l’art. 2 al. 2 LTaxis, dans la catégorie des limousines, cette question ne faisant au surplus pas partie de l’objet du présent litige circonscrit par la décision litigieuse. De plus, l’éventuelle violation de l’art. 3 al. 4 LTaxis n’a pas à être prise en compte dans le cadre du prononcé de la sanction litigieuse, puisqu’elle n’a pas été soumise au préavis de la commission de discipline LTaxis. Dès lors qu’il s’agit d’un motif visé dans la décision querellée, fondée sur le manquement à l’art. 42 al. 6 LTaxis, l’absence de prise en compte de l’art. 3 al. 4 LTaxis - qui ne pose pas d’autre obligation que celle figurant à l’art. 42 al. 6 LTaxis - n’a pas d’impact sur le présent litige.</w:t>
      </w:r>
    </w:p>
    <w:p>
      <w:r>
        <w:t>- 10/14 - A/1763/2015 6)</w:t>
      </w:r>
    </w:p>
    <w:p>
      <w:r>
        <w:t>Selon le recourant, le service, en faisant intervenir les agents de la société C______, a cherché à provoquer les infractions qui lui sont reprochées. Cette thèse de la provocation ne peut, en l’espèce, être retenue. En effet, l’inscription de l’intéressé en tant que chauffeur utilisant l’application Uber ne résulte ni d’un acte du service ni d’un acte de la société C______. Le recourant était déjà inscrit en tant que chauffeur employant l’application Uber, lorsque le collaborateur de la société C______ a passé la commande de la course litigieuse. De plus, comme l’a indiqué en audience le directeur du service, aucun chauffeur ayant été identifié dans le cadre de l’enquête confiée à la société C______ n’avait, avant la commande des courses effectuées par cette société-ci, été personnellement désigné. Par conséquent, la violation de l’art. 42 al. 6 LTaxis commise par le recourant ne découle que de sa seule et propre démarche, à savoir son inscription en tant que chauffeur utilisant l’application Uber et l’adhésion de ce fait aux tarifs proposés par l’application Uber, circonstances sur lesquelles ni le service ni la société C______ n’ont eu une quelconque influence. Par ailleurs, en exigeant dudit collaborateur un prix dépassant la limite supérieure de la fourchette annoncée, le recourant ne pouvait de bonne foi ignorer que ce procédé ne lui permettait pas de se conformer à l’art. 42 al. 6 LTaxis exigeant un accord préalable sur le prix avant la fourniture du service de limousine et a fortiori le respect dudit accord. 7)</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w:t>
      </w:r>
    </w:p>
    <w:p>
      <w:r>
        <w:t>- 11/14 - A/1763/2015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w:t>
      </w:r>
    </w:p>
    <w:p>
      <w:r>
        <w:t>- 12/14 - A/1763/2015</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 23 septembre 2014, une violation des art. 3 al. 4 et art. 42 al. 6 LTaxis et que l’autorité intimée était fondée à le sanctionner conformément à l’art. 45 al. 1 LTaxis.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 9)</w:t>
      </w:r>
    </w:p>
    <w:p>
      <w:r>
        <w:t>En l’espèce, en fixant le montant de l’amende à CHF 400.- au regard des circonstances du cas d’espèce, l’autorité intimée n’a aucunement excédé son pouvoir d’appréciation en la matière et cette sanction sera confirmée.</w:t>
      </w:r>
    </w:p>
    <w:p>
      <w:r>
        <w:t>Le recours sera rejeté.</w:t>
      </w:r>
    </w:p>
    <w:p>
      <w:r>
        <w:t>Vu l’issue du litige, un émolument de CHF 500.- sera prélevé (art. 87 al. 1 LPA). En outre, aucune indemnité de procédure ne sera allouée (art. 87 al. 2 LPA).</w:t>
      </w:r>
    </w:p>
    <w:p>
      <w:r>
        <w:t>- 13/14 - A/1763/2015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