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ATA/535/2016 vom 21. Juni 2016</w:t>
      </w:r>
    </w:p>
    <w:p>
      <w:r>
        <w:t>GE Cour de justice, 2016-06-21, FR</w:t>
      </w:r>
    </w:p>
    <w:p>
      <w:r>
        <w:rPr>
          <w:b/>
        </w:rPr>
        <w:t xml:space="preserve">Quelle: </w:t>
      </w:r>
      <w:r>
        <w:t>https://mcp.opencaselaw.ch/entscheid/ge_gerichte_ATA_535_2016</w:t>
      </w:r>
    </w:p>
    <w:p>
      <w:r>
        <w:t>FR: GE_GERICHTE ATA/535/2016 du 21 juin 2016</w:t>
      </w:r>
    </w:p>
    <w:p>
      <w:r>
        <w:t>IT: GE_GERICHTE ATA/535/2016 del 21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w:t>
      </w:r>
    </w:p>
    <w:p>
      <w:r>
        <w:rPr>
          <w:b/>
        </w:rPr>
        <w:t>E. 3</w:t>
      </w:r>
    </w:p>
    <w:p>
      <w:r>
        <w:t>Les conditions d’admission en Suisse ne sont pas applicables aux membres de missions diplomatiques et permanentes ainsi que de postes consulaires, titulaires d’une carte de légitimation du DFAE (art. 30 al. 1 let. g de la loi fédérale sur les étrangers du 16 décembre 2005 - LEtr - RS 142.20 ; art. 43 al. 1 let. a de l’ordonnance relative à l’admission, au séjour et à l’exercice d’une activité lucrative du 24 octobre 2007 - OASA - RS 142.201). Les enfants du titulaire principal, s’ils sont célibataires et âgés de moins de 25 ans, sont admis à séjourner en Suisse au titre du regroupement familial s’ils font ménage commun avec celui-ci, auquel cas ils reçoivent également une carte de légitimation du DFAE (art. 43 al. 2 OASA et 20 OLEH) et peuvent se voir délivrer un permis Ci leur permettant d’exercer une activité lucrative (SEM, Directives et commentaire, Domaine des étrangers, 2013, état au 1er juin 2016 [ci après : Directives SEM], ch. 7.2.3.2.2 p. 281). Ils bénéficient de l’accès facilité au travail jusqu’à l’âge de 25 ans (art. 22 OLEH) à la suite de quoi leurs conditions de séjour et de travail sont soumises au régime ordinaire du droit des étrangers (Directives SEM, ch. 7.2. 3.2 p. 280).</w:t>
      </w:r>
    </w:p>
    <w:p>
      <w:r>
        <w:t>- 6/12 - A/3170/2015</w:t>
      </w:r>
    </w:p>
    <w:p>
      <w:r>
        <w:t>Au-delà de 25 ans, les enfants d’un titulaire d’une carte de légitimation peuvent être exceptionnellement autorisés par le DFAE à séjourner en Suisse aux conditions de l’art. 22 OLEH.</w:t>
      </w:r>
    </w:p>
    <w:p>
      <w:r>
        <w:rPr>
          <w:b/>
        </w:rPr>
        <w:t>E. 4</w:t>
      </w:r>
    </w:p>
    <w:p>
      <w:r>
        <w:t>Le recourant, âgé aujourd’hui de 28 ans, qui n’est plus au bénéfice d’une carte de légitimation délivrée par le DFAE et qui n’a pas obtenu de l’OCIRT le droit d’exercer une activité lucrative dans le cadre de l’octroi d’un permis de séjour ordinaire, requiert d’être autorisé à séjourner en Suisse pour les raisons exceptionnelles qu’il a exposées.</w:t>
      </w:r>
    </w:p>
    <w:p>
      <w:r>
        <w:rPr>
          <w:b/>
        </w:rPr>
        <w:t>E. 5</w:t>
      </w:r>
    </w:p>
    <w:p>
      <w:r>
        <w:t>L’art. 30 al. 1 let. b LEtr permet de déroger aux conditions d’admission en Suisse, telles que prévues aux art. 18 à 29 LEtr, notamment en vue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(Directives SEM, p. 223 ch. 5.6.4).</w:t>
      </w:r>
    </w:p>
    <w:p>
      <w:r>
        <w:rPr>
          <w:b/>
        </w:rPr>
        <w:t>E. 6</w:t>
      </w:r>
    </w:p>
    <w:p>
      <w:r>
        <w:t>a.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ATA/350/2016 du 26 avril 2016 ; ATA/1192/2015 du 3 novembre 2015 et jurisprudence cantonale citée. L’autorité doit néanmoins procéder à l’examen de l’ensemble des circonstances du cas d’espèce pour déterminer l’existence d’un cas de rigueur (ATF 128 II 200 consid. 4 ; 124 II 110 consid. 2 ; Directives SEM, p. 213 ch. 5.6.1).</w:t>
      </w:r>
    </w:p>
    <w:p>
      <w:r>
        <w:t>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w:t>
      </w:r>
    </w:p>
    <w:p>
      <w:r>
        <w:t>- 7/12 - A/3170/2015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ATA/287/2016 du 5 avril 2016 ; ATA/1192/2015 précité ; ATA/894/2015 précité ; ATA/823/2015 précité ; ATA/635/2015 précité ; ATA/648/2009 du 8 décembre 2009).</w:t>
      </w:r>
    </w:p>
    <w:p>
      <w:r>
        <w:t>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ou encore une maladie grave ne pouvant être traitée qu’en Suisse. Tel est en particulier le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1er octobre 2013 ; ATA/680/2012 du 9 octobre 2012).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ATA/287/2016 précité ; ATA/1192/2015 précité ; ATA/894/2015 précité ; ATA/823/2015 précité ; ATA/635/2015 précité ; ATA/770/2014 précité).</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w:t>
      </w:r>
    </w:p>
    <w:p>
      <w:r>
        <w:t>- 8/12 - A/3170/2015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 ATA/285/2016 du 5 avril 2016).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ATA/189/2016 du 1er mars 2016).</w:t>
      </w:r>
    </w:p>
    <w:p>
      <w:r>
        <w:rPr>
          <w:b/>
        </w:rPr>
        <w:t>E. 7</w:t>
      </w:r>
    </w:p>
    <w:p>
      <w:r>
        <w:t>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que cette personne ait la nationalité suisse ou soit au bénéfice d’une autorisation d’établissement ou d’un droit certain à une autorisation de séjour en Suisse (ATF 137 I 284 consid. 1.3 ; 136 II 177 consid. 1.2 ; 135 I 143 consid. 1.3.1 ; 130 II 281 consid. 3.1 ; arrêts du Tribunal fédéral 2C_979/2013 du 25 février 2014 consid. 6.1 ; 2C_456/2013 du 5 décembre 2013 consid. 4.1 ; 2C_639/2012 du 13 février 2013 consid. 1.2.2). Les relations visées par l’art. 8 CEDH sont avant tout celles qui existent entre époux, ainsi que les relations entre parents et enfants mineurs vivant en ménage commun (ATF 135 I 143 consid. 1.3.2 ; 127 II 60 consid. 1d/aa ; arrêts du Tribunal fédéral 2C_546/2013 précité consid. 4.1 ; 2C_40/2012 du 15 octobre 2012 consid. 8). S’agissant d’adultes et notamment d’enfants adultes vis-à-vis de leurs parents, la protection de l’art. 8 CEDH est généralement subordonnée à l’existence de facteurs de dépendance allant au-delà des sentiments d’attachement ordinaires, notamment en raison d’un handicap physique ou mental ou d’une maladie grave (ACEDH Shala c. Suisse du 15 novembre 2012, req. 52873/09, § 40 ; Emonet et al. c. Suisse du 13 décembre 2007, req. 39051/03, § 35 ss ; Ezzouhdi c. France du 13 février 2001, req. 47160/99, § 34 ; ATF 129 II 11 consid. 2 ; 120 Ib 257 consid. 1d ; arrêts du Tribunal fédéral 2C_1153/2014 du 11 mai 2015 consid. 5.3 ; 2C_899/2014 du 3 avril 2015 consid. 3.1 ; 2C_1/2013 du 16 janvier 2013 consid. 3.2.1 ; 2D_139/2008 du 5 mars 2009 consid. 2.3).</w:t>
      </w:r>
    </w:p>
    <w:p>
      <w:r>
        <w:t>L’art. 8 CEDH protège également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cet angle, l’art. 8 CEDH n’ouvre le droit à une autorisation de séjour qu’à des conditions restrictives Au-delà des conditions précitées, l’étranger devant établir l’existence de liens sociaux et</w:t>
      </w:r>
    </w:p>
    <w:p>
      <w:r>
        <w:t>- 9/12 - A/3170/2015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(ATF 134 II 10 consid. 4.3 ; 130 II 493 consid. 4.6 ; arrêts du Tribunal fédéral 2C_899/2014 précité consid. 3.2 ; 2C_80/2015 du 9 février 2015 consid. 2.1 ; 2C_507/2012 du 17 janvier 2013 consid. 5.2.1).</w:t>
      </w:r>
    </w:p>
    <w:p>
      <w:r>
        <w:rPr>
          <w:b/>
        </w:rPr>
        <w:t>E. 8</w:t>
      </w:r>
    </w:p>
    <w:p>
      <w:r>
        <w:t>Le recourant prétend à l’octroi d’une autorisation de séjour pour cas de rigueur personnelle alors qu’il a dépassé l’âge de 25 ans lui donnant le droit de séjourner en Suisse avec son père, titulaire principal d’une carte de légitimation du DFAE, alors que cette autorité n’a pas prolongé son droit à une telle carte et qu’il n’a pas obtenu un permis de séjour ordinaire avec prise d’emploi.</w:t>
      </w:r>
    </w:p>
    <w:p>
      <w:r>
        <w:t>En l’espèce, le recourant a quitté son pays d’origine à l’âge de 19 ans pour rejoindre ses parents en Suisse où il séjourne à Genève depuis près de huit ans. Durant cette période, il a partiellement vécu pour raisons d’études à Lyon pendant près de cinq ans. En elle-même, cette durée de séjour en Suisse n’est pas suffisante pour permettre la reconnaissance d’un cas individuel d’extrême gravité. Il ne ressort pas non plus du dossier que le recourant puisse se prévaloir d’une intégration sociale et culturelle particulière. En effet, au-delà du fait d’y avoir rejoint sa famille, il ne démontre pas d’attaches spécifiques avec la Suisse, ni s’y être intégré professionnellement d’une manière exceptionnelle, au sens exigé par la jurisprudence. En particulier, au vu de l’expérience professionnelle restreinte qu’il expose, soit des stages en informatique, on ne peut le suivre lorsqu’il affirme qu’un retour en Côte d’Ivoire impliquerait pour lui de tout recommencer à zéro.</w:t>
      </w:r>
    </w:p>
    <w:p>
      <w:r>
        <w:t>Au surplus, le recourant a vécu toute son enfance et son adolescence en Côte d’Ivoire, où il a accompli la plus grande partie de sa formation. Un retour dans ce pays, alors qu’il est au bénéfice d’une formation, ne saurait être constitutif d’un déracinement, même si ses parents, qui sont eux-mêmes au bénéfice d’un statut lié à une activité diplomatique, restent en Suisse.</w:t>
      </w:r>
    </w:p>
    <w:p>
      <w:r>
        <w:t>Il s’ensuit que le TAPI, tout comme l’OCPM avant sa saisine, ont pris en compte l’ensemble des éléments en lien avec la situation du recourant, avant de conclure, à juste titre, que celui-ci ne pouvait se prévaloir d’une exception aux conditions d’admission sur la base des art. 30 al. 1 let. b LEtr et 31 al. 1 OASA, dont les réquisits ne sont pas remplis. Le jugement entrepris sera dès lors confirmé.</w:t>
      </w:r>
    </w:p>
    <w:p>
      <w:r>
        <w:rPr>
          <w:b/>
        </w:rPr>
        <w:t>E. 9</w:t>
      </w:r>
    </w:p>
    <w:p>
      <w:r>
        <w:t>De même, le recourant ne peut se prévaloir d’un droit au regroupement familial. En effet, ses parents sont certes autorisés à résider en Suisse, mais en tant qu’enfant majeur, la jurisprudence de la CourEDH rappelée ci-dessus ne lui</w:t>
      </w:r>
    </w:p>
    <w:p>
      <w:r>
        <w:t>- 10/12 - A/3170/2015 reconnaît aucun droit à un tel regroupement. Au-delà du lien affectif qu’il entretient nécessairement avec ses parents, il n’en est pas dépendant. Pour le surplus, aucune des conditions exceptionnelles requises en matière d’intégration sociale n’existe qui, dans le cadre d’une pesée des intérêts, pourrait lui permettre de faire prévaloir des intérêts à rester en Suisse auprès des siens, en rapport avec les droits conférés par l’art. 8 CEDH.</w:t>
      </w:r>
    </w:p>
    <w:p>
      <w:r>
        <w:rPr>
          <w:b/>
        </w:rPr>
        <w:t>E. 10</w:t>
      </w:r>
    </w:p>
    <w:p>
      <w:r>
        <w:t>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En l’espèce, dans ses dernières écritures, le recourant affirme que la Côte d’Ivoire, en raison de troubles liés à des activités de groupes islamistes, serait un pays sans sécurité, ce qui impliquerait qu’un renvoi dans ce pays serait contraire aux engagements internationaux de la Suisse. Toutefois, au-delà de ses allégations, il n'a pas plus rendu crédible, ni même vraisemblable, qu'il existerait pour lui un véritable risque concret et sérieux d'être victime, en cas de retour dans son pays d'origine, de traitements inhumains ou dégradants au sens de l’art. 3 CEDH et de l’art. 3 de la Convention du 10 décembre 1984 contre la torture et autres peines ou traitements cruels, inhumains ou dégradants (Conv. torture – RS 0.105). Certes, la Côte d’Ivoire a fait l’objet de troubles liés à des activités de groupes extrémistes, mais ceux-ci sont restreints à certaines portions du territoire du pays comme dans tous les pays d’Afrique occidentale, et ne sont pas liés à un état de guerre, de guerre civile ou à un climat de violences généralisées. L'exécution du renvoi, qui n’est liée à aucune mise en danger concrète du recourant, s'avère donc conforme au droit.</w:t>
      </w:r>
    </w:p>
    <w:p>
      <w:r>
        <w:rPr>
          <w:b/>
        </w:rPr>
        <w:t>E. 11</w:t>
      </w:r>
    </w:p>
    <w:p>
      <w:r>
        <w:t>Il s’ensuit que le recours sera rejeté.</w:t>
      </w:r>
    </w:p>
    <w:p>
      <w:r>
        <w:rPr>
          <w:b/>
        </w:rPr>
        <w:t>E. 12</w:t>
      </w:r>
    </w:p>
    <w:p>
      <w:r>
        <w:t>Vu l'issue du litige, un émolument de CHF 400.- sera mis à la charge du recourant, qui succombe (art. 87 al. 1 LPA) et aucune indemnité de procédure ne lui sera allouée (art. 87 al. 2 LPA).</w:t>
      </w:r>
    </w:p>
    <w:p>
      <w:r>
        <w:t>- 11/12 - A/3170/2015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