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ATA/535/2011 vom 30. August 2011</w:t>
      </w:r>
    </w:p>
    <w:p>
      <w:r>
        <w:t>GE Cour de justice, 2011-08-30, FR</w:t>
      </w:r>
    </w:p>
    <w:p>
      <w:r>
        <w:rPr>
          <w:b/>
        </w:rPr>
        <w:t xml:space="preserve">Quelle: </w:t>
      </w:r>
      <w:r>
        <w:t>https://mcp.opencaselaw.ch/entscheid/ge_gerichte_ATA_535_2011</w:t>
      </w:r>
    </w:p>
    <w:p>
      <w:r>
        <w:t>FR: GE_GERICHTE ATA/535/2011 du 30 août 2011</w:t>
      </w:r>
    </w:p>
    <w:p>
      <w:r>
        <w:t>IT: GE_GERICHTE ATA/535/2011 del 30 agosto 2011</w:t>
      </w:r>
    </w:p>
    <w:p>
      <w:pPr>
        <w:pStyle w:val="Heading2"/>
      </w:pPr>
      <w:r>
        <w:t>Regeste</w:t>
      </w:r>
    </w:p>
    <w:p>
      <w:r>
        <w:t>Résumé: En écartant une offre déposée dans le cadre d'une procédure de marché public dont une des attestations produites était périmée, le département n'a pas fait preuve de formalisme excessif. Rejet du recours même si le recourant a produit a posteriori devant la chambre administrative l'attestation datant de moins de trois mois et vraisemblablement en sa possession au moment du dépôt de l'offre.</w:t>
      </w:r>
    </w:p>
    <w:p>
      <w:pPr>
        <w:pStyle w:val="Heading2"/>
      </w:pPr>
      <w:r>
        <w:t>Erwägungen</w:t>
      </w:r>
    </w:p>
    <w:p>
      <w:r>
        <w:rPr>
          <w:b/>
        </w:rPr>
        <w:t>E. 1</w:t>
      </w:r>
    </w:p>
    <w:p>
      <w:r>
        <w:t>Interjeté en temps utile auprès de la juridiction compétente, le recours est recevable, le soumissionnaire évincé ayant qualité pour recourir contre une décision d'exclusion (art. 131 et 132 de la loi sur l'organisation judiciaire du 26 septembre 2010 - LOJ - E 2 05 ; art. 15 al. 1 bis let. d AIMP ; art. 55 let. c RMP ; art. 62 al. l let. b de la loi sur la procédure administrative du 12 septembre 1985 - LPA - E 5 10).</w:t>
      </w:r>
    </w:p>
    <w:p>
      <w:r>
        <w:rPr>
          <w:b/>
        </w:rPr>
        <w:t>E. 2</w:t>
      </w:r>
    </w:p>
    <w:p>
      <w:r>
        <w:t>Le droit des marchés publics a pour but d’assurer une concurrence efficace entre les soumissionnaires et de garantir l’égalité de traitement et l’impartialité de l’adjudication à l’ensemble de ceux-ci (art. 1 al. 3 let. a et b AIMP). Ces principes sont répétés à l’art. 16 RMP, qui précise que la discrimination des soumissionnaires est interdite par la fixation de délais ou de spécifications techniques non conformes à l’art. 28 RMP, par l’imposition abusive de produits à utiliser ou par le choix de critères étrangers à la soumission. De même, le principe d’égalité de traitement doit être garanti à tous les candidats et soumissionnaires dans toutes les phases de la procédure (art. 16 al. 1 et 2 RMP ; ATA/165/2011 du 15 mars 2011).</w:t>
      </w:r>
    </w:p>
    <w:p>
      <w:r>
        <w:rPr>
          <w:b/>
        </w:rPr>
        <w:t>E. 3</w:t>
      </w:r>
    </w:p>
    <w:p>
      <w:r>
        <w:t>Une offre est écartée d'office lorsque le soumissionnaire a rendu une offre tardive, incomplète ou non conforme aux exigences ou au cahier des charges (art. 42 al. 1 let. a RMP).</w:t>
      </w:r>
    </w:p>
    <w:p>
      <w:r>
        <w:t>Les offres déposées doivent comporter notamment diverses attestations qui, pour être valables, « ne doivent pas être antérieures de plus de trois mois à la date fixée pour leur production, sauf dans les cas où elles ont, par leur contenu, une durée de validité supérieure » (art. 32 al. 3 RMP).</w:t>
      </w:r>
    </w:p>
    <w:p>
      <w:r>
        <w:rPr>
          <w:b/>
        </w:rPr>
        <w:t>E. 4</w:t>
      </w:r>
    </w:p>
    <w:p>
      <w:r>
        <w:t>En l'espèce, il est établi et non contesté que l'attestation émise le 15 décembre 2010 par Axa Winterthur était échue car datant de plus de trois mois au moment où elle a été remise au DCTI avec l'offre déposée le 16 juin 2011.</w:t>
      </w:r>
    </w:p>
    <w:p>
      <w:r>
        <w:t>A l'appui de son recours, ThyssenKrupp S.A. a cependant joint une autre attestation du même groupe émise le 25 mai 2011, soit le même mois que toutes les autres attestations produites, rendant ainsi vraisemblable qu'une erreur s'était</w:t>
      </w:r>
    </w:p>
    <w:p>
      <w:r>
        <w:t>- 4/6 - A/2135/2011 glissée dans ce dossier et que l'attestation périmée avait été jointe en lieu et place de celle plus récente.</w:t>
      </w:r>
    </w:p>
    <w:p>
      <w:r>
        <w:rPr>
          <w:b/>
        </w:rPr>
        <w:t>E. 5</w:t>
      </w:r>
    </w:p>
    <w:p>
      <w:r>
        <w:t>La seule question à trancher réside dans le fait de savoir si, en écartant l'offre pour ce seul motif, le DCTI a fait preuve d'un formalisme excessif.</w:t>
      </w:r>
    </w:p>
    <w:p>
      <w:r>
        <w:t>Le droit des marchés publics est formaliste, comme la chambre de céans l’a déjà rappelé à plusieurs reprises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w:t>
      </w:r>
    </w:p>
    <w:p>
      <w:r>
        <w:rPr>
          <w:b/>
        </w:rPr>
        <w:t>E. 6</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 de ne procéder à ce type de questionnement que de manière restrictive, et seulement lorsque l’offre est au demeurant, conforme aux conditions de l’appel d’offres (J.-B. ZUFFEREY, C. MAILLARD, N. MICHEL, Droit des marchés publics, 2002, p. 110 ; O. RODONDI, La gestion de la procédure de soumission, cité ci-après : La gestion in ZUFFEREY, STOECKLI, Droit des marchés publics 2008 p. 185 n. 63, p. 186).</w:t>
      </w:r>
    </w:p>
    <w:p>
      <w:r>
        <w:t>A cet égard, même les auteurs qui préconisent une certaine souplesse dans le traitement des informalités, admettent que l’autorité adjudicatrice détient un certain pouvoir d’appréciation sur le degré de sévérité dont elle désire faire preuve dans le traitement des offres, pour autant qu’elle applique la même rigueur, respectivement la même flexibilité à l’égard des différents soumissionnaires (O. RODONDI, Les délais en droit des marchés publics, cités ci-après : les délais, RDAF 2007 I p. 187 et 289).</w:t>
      </w:r>
    </w:p>
    <w:p>
      <w:r>
        <w:t>Les principes précités valent également pour la phase d’examen de la recevabilité des soumissions (O. RODONDI, La gestion,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w:t>
      </w:r>
    </w:p>
    <w:p>
      <w:r>
        <w:t>- 5/6 - A/2135/2011 extrapolation, si celui-ci remplit les conditions d’aptitude ou d’offre conformes à ce qui est exigé dans le cahier des charges (ATA/102/2010 du 16 février 2010, confirmé par Arrêts du Tribunal fédéral 2C_197/2010 et 2C_198/2010 du 30 avril 2010).</w:t>
      </w:r>
    </w:p>
    <w:p>
      <w:r>
        <w:t>La chambre de céans s'est toujours montrée stricte dans ce domaine, (ATA/150/2006 du 14 mars 2006, notamment), ce que le Tribunal fédéral a constaté mais confirmé (Arrêts du Tribunal fédéral 2C_197 et 198/2010 précités), la doctrine étant plus critique à cet égard (O. RODONDI, La gestion de la procédure de soumission, in Droit des marchés publics 2008, p. 186 ch. 64). En l'espèce, la chambre de céans n'a aucune raison de s'écarter de sa jurisprudence antérieure, car l'erreur commise par la recourante, pour regrettable qu'elle soit, n'était pas décelable par l'autorité adjudicatrice au moment de l'ouverture des offres. Accorder a posteriori à la recourante la possibilité de substituer à l'attestation périmée celle plus récente reviendrait à violer le principe d'égalité de traitement entre soumissionnaires et serait source d'insécurité juridique.</w:t>
      </w:r>
    </w:p>
    <w:p>
      <w:r>
        <w:rPr>
          <w:b/>
        </w:rPr>
        <w:t>E. 7</w:t>
      </w:r>
    </w:p>
    <w:p>
      <w:r>
        <w:t>Vu l'issue du litige, un émolument de CHF 1'000.- sera mis à la charge de la recourante, à laquelle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