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ATA/534/2017 vom 9. Mai 2017</w:t>
      </w:r>
    </w:p>
    <w:p>
      <w:r>
        <w:t>GE Cour de justice, 2017-05-09, FR</w:t>
      </w:r>
    </w:p>
    <w:p>
      <w:r>
        <w:rPr>
          <w:b/>
        </w:rPr>
        <w:t xml:space="preserve">Quelle: </w:t>
      </w:r>
      <w:r>
        <w:t>https://mcp.opencaselaw.ch/entscheid/ge_gerichte_ATA_534_2017</w:t>
      </w:r>
    </w:p>
    <w:p>
      <w:r>
        <w:t>FR: GE_GERICHTE ATA/534/2017 du 9 mai 2017</w:t>
      </w:r>
    </w:p>
    <w:p>
      <w:r>
        <w:t>IT: GE_GERICHTE ATA/534/2017 del 9 maggio 2017</w:t>
      </w:r>
    </w:p>
    <w:p>
      <w:pPr>
        <w:pStyle w:val="Heading2"/>
      </w:pPr>
      <w:r>
        <w:t>Regeste</w:t>
      </w:r>
    </w:p>
    <w:p>
      <w:r>
        <w:t>Résumé: Violation de la LTaxis en matière de fixation du prix par un chauffeur de taxi en raison de l'utilisation de l'application Uber. Les autres manquements reprochés ne sont pas établis. Réduction de l'amende. Admission partielle du recours.</w:t>
      </w:r>
    </w:p>
    <w:p>
      <w:pPr>
        <w:pStyle w:val="Heading2"/>
      </w:pPr>
      <w:r>
        <w:t>Erwägungen</w:t>
      </w:r>
    </w:p>
    <w:p>
      <w:r>
        <w:rPr>
          <w:b/>
        </w:rPr>
        <w:t>E. 12</w:t>
      </w:r>
    </w:p>
    <w:p>
      <w:r>
        <w:t>septembre 1985 - LPA - E 5 10). 2)</w:t>
      </w:r>
    </w:p>
    <w:p>
      <w:r>
        <w:t>Le présent litige porte sur l’amende de CHF 2'400.- infligée au recourant et l’avertissement selon lequel, en cas de récidive, sa carte professionnelle de chauffeur serait suspendue, tous deux objets de la décision litigieuse. Celle-ci porte, d’une part, sur des faits résultant de l’intervention d’un collaborateur de la B______, effectuée le 23 septembre 2014 sur demande du service dont le but était de comprendre le fonctionnement de la société Uber et celui de l’application proposée par celle-ci. D’autre part, la décision querellée porte sur des faits survenus les 27 mai et 4 juillet 2013 et établis par deux rapports respectifs du secteur « inspectorat » du service des 27 mai et 8 juillet 2013.</w:t>
      </w:r>
    </w:p>
    <w:p>
      <w:r>
        <w:t>- 9/16 - A/107/2015 3)</w:t>
      </w:r>
    </w:p>
    <w:p>
      <w:r>
        <w:t>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Quant à l’argument portant sur la brièveté du délai octroyé le 27 octobre 2014, il doit également être écarté dans la mesure où le recourant a pu, dans le cadre de son recours, faire valoir tous les éléments utiles à sa défense. 5)</w:t>
      </w:r>
    </w:p>
    <w:p>
      <w:r>
        <w:t>La conformité au droit des manquements reprochés au recourant doit être examinée.</w:t>
      </w:r>
    </w:p>
    <w:p>
      <w:r>
        <w:t>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w:t>
      </w:r>
    </w:p>
    <w:p>
      <w:r>
        <w:t>- 10/16 - A/107/2015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w:t>
      </w:r>
    </w:p>
    <w:p>
      <w:r>
        <w:t>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w:t>
      </w:r>
    </w:p>
    <w:p>
      <w:r>
        <w:t>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w:t>
      </w:r>
    </w:p>
    <w:p>
      <w:r>
        <w:t>b. En l’espèce, il ressort des déclarations en audience du collaborateur de la B______ ayant effectué la course litigieuse, que ni la visibilité du feuillet indiquant les tarifs pratiqués par le taxi, ni l’enclenchement du taximètre ne faisaient partie des éléments qu’il devait observer dans le cadre de sa mission portant sur la compréhension du fonctionnement de la société Uber et de l’application de celle-ci. Or, le service fonde les infractions reprochées au recourant sur le rapport établi par ledit collaborateur, qui, conformément aux déclarations de ce dernier, ne comprend aucune mention relative à ces deux éléments. De plus, l’intéressé a déclaré en audience avoir enclenché le taximètre, ce qu’il faisait toujours lorsqu’il avait des « clients UBER ». Dès lors, le service ne disposait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w:t>
      </w:r>
    </w:p>
    <w:p>
      <w:r>
        <w:t>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 service a produit le reçu détaillé que ledit collaborateur avait reçu, à titre de quittance, à la fin de la course et qui lui indiquait le prix effectif de la course (à savoir CHF 21.-). De plus, aucun manquement à ce sujet ne figure dans le</w:t>
      </w:r>
    </w:p>
    <w:p>
      <w:r>
        <w:t>- 11/16 - A/107/2015 rapport dudit collaborateur. Dès lors, le recourant n’a pas enfreint l’art. 53 al. 2 RTaxis.</w:t>
      </w:r>
    </w:p>
    <w:p>
      <w:r>
        <w:t>Il est finalement reproché au recourant d’avoir contrevenu à l’art. 42 al. 1 LTaxis à teneur duquel « les tarifs des taxis sont déterminés selon l’enregistrement du compteur horokilométrique », car tant le dossier du service que l’instruction devant la chambre de céans démontrent que le prix de la course litigieuse a été fixé par l’application Uber, et non selon ledit compteur. Il n’a donc pas respecté cette règle et un manquement à l’art. 42 al. 1 LTaxis peut être retenu à son encontre. 6)</w:t>
      </w:r>
    </w:p>
    <w:p>
      <w:r>
        <w:t>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le collaborateur de la B______ a passé la commande de la course litigieuse.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w:t>
      </w:r>
    </w:p>
    <w:p>
      <w:r>
        <w:t>- 12/16 - A/107/2015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w:t>
      </w:r>
    </w:p>
    <w:p>
      <w:r>
        <w:t>- 13/16 - A/107/2015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23 septembre 2014, une violation de l’art. 42 al. 1 LTaxis pour laquelle il peut être sanctionné conformément à l’art. 45 al. 1 LTaxis. 8)</w:t>
      </w:r>
    </w:p>
    <w:p>
      <w:r>
        <w:t>S’agissant des événements des 27 mai et 4 juillet 2013, sanctionnés également dans la décision litigieuse, la prescription est aujourd’hui acquise de sorte qu’ils ne peuvent plus faire l’objet de sanctions. En effet, conformément à la jurisprudence de la chambre de céans, les amendes administratives prévues par les législations cantonales sont de nature pénale, car aucun critère ne permet de les distinguer clairement des contraventions pour lesquelles la compétence administrative de première instance peut, au demeurant, aussi exister.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w:t>
      </w:r>
    </w:p>
    <w:p>
      <w:r>
        <w:t>- 14/16 - A/107/2015 (ATA/1024/2016 du 6 décembre 2016 consid. 6 ; ATA/263/2016 du 22 mars 2016 consid. 6 ; ATA/1062/2015 du 6 octobre 2015 consid. 8 et les références citées). Les griefs tirés du droit d’être entendu à ce sujet n’ont dès lors pas à être examinés. 9)</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CP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2’400.- à CHF 400.-, en tenant compte des antécédents figurant au dossier et de la nécessité d’assurer un service de taxi de qualité. 10) 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w:t>
      </w:r>
    </w:p>
    <w:p>
      <w:r>
        <w:t>- 15/16 - A/107/2015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