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ATA/533/2024 vom 30. April 2024</w:t>
      </w:r>
    </w:p>
    <w:p>
      <w:r>
        <w:t>GE Cour de justice, 2024-04-30, FR</w:t>
      </w:r>
    </w:p>
    <w:p>
      <w:r>
        <w:rPr>
          <w:b/>
        </w:rPr>
        <w:t xml:space="preserve">Quelle: </w:t>
      </w:r>
      <w:r>
        <w:t>https://mcp.opencaselaw.ch/entscheid/ge_gerichte_ATA_533_2024</w:t>
      </w:r>
    </w:p>
    <w:p>
      <w:r>
        <w:t>FR: GE_GERICHTE ATA/533/2024 du 30 avril 2024</w:t>
      </w:r>
    </w:p>
    <w:p>
      <w:r>
        <w:t>IT: GE_GERICHTE ATA/533/2024 del 30 aprile 2024</w:t>
      </w:r>
    </w:p>
    <w:p>
      <w:pPr>
        <w:pStyle w:val="Heading2"/>
      </w:pPr>
      <w:r>
        <w:t>Regeste</w:t>
      </w:r>
    </w:p>
    <w:p>
      <w:r>
        <w:t>Résumé: Rejet du recours d’un chauffeur de taxi ayant atteint la limite d’âge posée par l’art. 13 al. 9 let. c LTVTC. La conformité au droit supérieur de cette norme a déjà été constatée par la chambre constitutionnelle qui l’a considérée comme étant une restriction admissible à la liberté économique. Cette disposition, fixant la caducité de l’autorisation d’usage accru du domaine public (AUADP) à 75 ans pour les chauffeurs de taxis, ne contient aucune dérogation, de sorte que le département ne dispose pas d’une marge d’appréciation lui permettant de la prolonger au-delà. Les arguments évoqués par le recourant quant à sa situation personnelle ont été envisagés par le législateur afin de justifier les buts visés par la disposition précitée (réduire le temps d’attente pour les personnes souhaitant exercer la profession, préserver la santé des administrés vu la pénibilité de la profession de chauffeur, assurer la sécurité des usagers), étant précisé que le recourant peut continuer son activité de chauffeur en tant que chauffeur VTC.</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constatant la caducité de l’AUADP du recourant en raison de son âge. Le recourant considère que l’art. 13 al. 9 let. c LTVTC viole, d’une part, sa liberté économique et le principe de proportionnalité et, d’autre part,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w:t>
      </w:r>
    </w:p>
    <w:p>
      <w:r>
        <w:t>- 5/11 - A/4142/2023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w:t>
      </w:r>
    </w:p>
    <w:p>
      <w:r>
        <w:t>- 6/11 - A/4142/2023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w:t>
      </w:r>
    </w:p>
    <w:p>
      <w:r>
        <w:t>- 7/11 - A/4142/2023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w:t>
      </w:r>
    </w:p>
    <w:p>
      <w:r>
        <w:rPr>
          <w:b/>
        </w:rPr>
        <w:t>E. 2.6</w:t>
      </w:r>
    </w:p>
    <w:p>
      <w:r>
        <w:t>Dans ses arrêts ACST/25/2022, ACST/26/2022 et ACST/27/2022 du 22 décembre 2022, la chambre constitutionnelle a admis la conformité au droit supérieur de la LTVTC sur plusieurs points, dont l’art. 13 al. 9 let. c LTVTC.</w:t>
      </w:r>
    </w:p>
    <w:p>
      <w:r>
        <w:t>- 8/11 - A/4142/2023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VTC. En outre, elle n’emportait aucune inégalité de traitement entre concurrents directs, conformément à la jurisprudence rendue en la matière, notamment concernant la distinction entre chauffeurs de taxi et chauffeurs VTC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(ACST/18/2022 du 31 octobre 2022 consid. 4). La chambre constitutionnelle a également rappelé que l’AUADP octroyée aux chauffeurs de taxis ne conférait généralement pas de droits acquis, à moins de garanties spécifiquement obtenues concernant la poursuite de l’activité de location de plaques, ce qui n’était pas le cas dans les affaires dont elle était saisie (ACST/26/2022 ; ACST/27/2022).</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(ATA/371/2024 du 12 mars 2024 consid. 5 ; ATA/330/2024 du 5 mars 2024 consid. 5).</w:t>
      </w:r>
    </w:p>
    <w:p>
      <w:r>
        <w:rPr>
          <w:b/>
        </w:rPr>
        <w:t>E. 2.8</w:t>
      </w:r>
    </w:p>
    <w:p>
      <w:r>
        <w:t>En l’espèce, le recourant se plaint principalement du fait que, conformément au principe de la proportionnalité,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 de la LTVTC au droit supérieur, en particulier celle de l’art. 13 al. 9 let. c LTVTC,</w:t>
      </w:r>
    </w:p>
    <w:p>
      <w:r>
        <w:t>- 9/11 - A/4142/2023 incluant l’examen du respect du principe de la proportionnalité et celui de la question des droits acquis, dans des arrêts du 22 décembre 2022 (ACST/26/2022 et ACST/27/2022) s’agissant de la nouvelle LTVTC et du 24 mars 2023 (ACST/15/2023) quant à son règlement d’application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et aucune indemnité de procédure ne lui sera allouée (art. 87 LPA).</w:t>
      </w:r>
    </w:p>
    <w:p>
      <w:r>
        <w:t>* * * * *</w:t>
      </w:r>
    </w:p>
    <w:p>
      <w:r>
        <w:t>- 10/11 - A/4142/2023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