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ATA/533/2017 vom 9. Mai 2017</w:t>
      </w:r>
    </w:p>
    <w:p>
      <w:r>
        <w:t>GE Cour de justice, 2017-05-09, FR</w:t>
      </w:r>
    </w:p>
    <w:p>
      <w:r>
        <w:rPr>
          <w:b/>
        </w:rPr>
        <w:t xml:space="preserve">Quelle: </w:t>
      </w:r>
      <w:r>
        <w:t>https://mcp.opencaselaw.ch/entscheid/ge_gerichte_ATA_533_2017</w:t>
      </w:r>
    </w:p>
    <w:p>
      <w:r>
        <w:t>FR: GE_GERICHTE ATA/533/2017 du 9 mai 2017</w:t>
      </w:r>
    </w:p>
    <w:p>
      <w:r>
        <w:t>IT: GE_GERICHTE ATA/533/2017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2'500.- infligée au recourant et l’avertissement selon lequel, en cas de récidive, sa carte professionnelle de chauffeur serait suspendue, tous deux objets de la décision litigieuse. Celle-ci porte, d’une part, sur des faits résultant de l’intervention d’un collaborateur de la C______, effectuée le 19 septembre 2014 sur demande du service dont le but était de comprendre le fonctionnement de la société Uber et celui de l’application proposée par celle-ci. D’autre part, la décision querellée porte sur des faits survenus les 25 juin 2013 ainsi que les 17 et 23 septembre 2013 et établis respectivement par trois rapports du secteur « inspectorat » du service des 2 juillet 2013, du 18 et 25 septembre 2013.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w:t>
      </w:r>
    </w:p>
    <w:p>
      <w:r>
        <w:t>- 9/16 - A/106/2015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C______ sur cette question. Par conséquent, le droit d’être entendu du recourant n’a pas été violé sur ces deux points.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 « taxi », fixée sur le toit du véhicule et comportant des témoins lumineux agréés</w:t>
      </w:r>
    </w:p>
    <w:p>
      <w:r>
        <w:t>- 10/16 - A/106/2015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il ressort des déclarations en audience du collaborateur de la C______ ayant effectué la course litigieuse,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si bien qu’il n’avait procédé à aucune constatation sur ces points. Or, le service fonde les infractions reprochées au recourant sur le rapport établi par ledit collaborateur, qui, conformément aux déclarations de ce dernier, ne comprend aucune mention relative à ces deux éléments. De plus, l’intéressé a déclaré en audience avoir enclenché le taximètre lors de deux seules courses pour lesquelles il avait utilisé l’application Uber. Dès lors,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w:t>
      </w:r>
    </w:p>
    <w:p>
      <w:r>
        <w:t>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service a produit le reçu détaillé que ledit collaborateur avait reçu, à titre de quittance, à la fin de la course et qui lui indiquait le prix effectif de la course (à savoir CHF 14.14), la fourchette de prix annoncée audit collaborateur avant la course se situant, d’après le rapport de ce dernier, entre CHF 16.- et CHF 20.-. De plus, aucun manquement à ce sujet ne figure dans le rapport dudit collaborateur. Dès lors, le recourant n’a pas enfreint l’art. 53 al. 2 RTaxis.</w:t>
      </w:r>
    </w:p>
    <w:p>
      <w:r>
        <w:t>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selon ledit compteur. Il</w:t>
      </w:r>
    </w:p>
    <w:p>
      <w:r>
        <w:t>- 11/16 - A/106/2015 n’a donc pas respecté cette règle et un manquement à l’art. 42 al. 1 LTaxis peut être retenu à son encontre. 6)</w:t>
      </w:r>
    </w:p>
    <w:p>
      <w:r>
        <w:t>Selon le recourant, le service, en faisant intervenir les agents de la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C______. Le recourant était déjà inscrit en tant que chauffeur employant l’application Uber, lorsque le collaborateur de la C______ a passé la commande de la course litigieuse. De plus, comme l’a indiqué en audience le directeur du service, aucun chauffeur ayant été identifié dans le cadre de l’enquête confiée à la C______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C______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w:t>
      </w:r>
    </w:p>
    <w:p>
      <w:r>
        <w:t>- 12/16 - A/106/2015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w:t>
      </w:r>
    </w:p>
    <w:p>
      <w:r>
        <w:t>- 13/16 - A/106/2015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19 septembre 2014, une violation de l’art. 42 al. 1 LTaxis pour laquelle il peut être sanctionné conformément à l’art. 45 al. 1 LTaxis. 8)</w:t>
      </w:r>
    </w:p>
    <w:p>
      <w:r>
        <w:t>S’agissant des événements des 25 juin 2013, 17 et 23 septembre 2013, sanctionnés également dans la décision litigieuse, la prescription est aujourd’hui acquise de sorte qu’ils ne peuvent plus faire l’objet de sanctions. En effet, conformément à la jurisprudence de la chambre de céans, les amendes administratives prévues par les législations cantonales sont de nature pénale, car aucun critère ne permet de les distinguer clairement des contraventions pour lesquelles la compétence administrative de première instance peut, au demeurant, aussi exister. En vertu de l’art. 1 al. 1 let. a de la loi pénale genevoise du</w:t>
      </w:r>
    </w:p>
    <w:p>
      <w:r>
        <w:rPr>
          <w:b/>
        </w:rPr>
        <w:t>E. 17</w:t>
      </w:r>
    </w:p>
    <w:p>
      <w:r>
        <w:t>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(ATA/1024/2016 du 6 décembre 2016 consid. 6 ; ATA/263/2016 du 22 mars 2016 consid. 6 ; ATA/1062/2015 du 6 octobre 2015 consid. 8 et les références citées). Les griefs tirés du droit d’être entendu à ce sujet n’ont dès lors pas à être examinés. 9)</w:t>
      </w:r>
    </w:p>
    <w:p>
      <w:r>
        <w:t>Les amendes administratives prévues par les législations cantonales sont de nature pénale, car aucun critère ne permet de les distinguer clairement des</w:t>
      </w:r>
    </w:p>
    <w:p>
      <w:r>
        <w:t>- 14/16 - A/106/2015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2’500.- à CHF 400.-, en tenant compte de l’absence d’antécédents figurant au dossier et de la nécessité d’assurer un service de taxi de qualité. 10) 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