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ATA/533/2016 vom 21. Juni 2016</w:t>
      </w:r>
    </w:p>
    <w:p>
      <w:r>
        <w:t>GE Cour de justice, 2016-06-21, FR</w:t>
      </w:r>
    </w:p>
    <w:p>
      <w:r>
        <w:rPr>
          <w:b/>
        </w:rPr>
        <w:t xml:space="preserve">Quelle: </w:t>
      </w:r>
      <w:r>
        <w:t>https://mcp.opencaselaw.ch/entscheid/ge_gerichte_ATA_533_2016</w:t>
      </w:r>
    </w:p>
    <w:p>
      <w:r>
        <w:t>FR: GE_GERICHTE ATA/533/2016 du 21 juin 2016</w:t>
      </w:r>
    </w:p>
    <w:p>
      <w:r>
        <w:t>IT: GE_GERICHTE ATA/533/2016 del 21 giugno 2016</w:t>
      </w:r>
    </w:p>
    <w:p>
      <w:pPr>
        <w:pStyle w:val="Heading2"/>
      </w:pPr>
      <w:r>
        <w:t>Erwägungen</w:t>
      </w:r>
    </w:p>
    <w:p>
      <w:r>
        <w:rPr>
          <w:b/>
        </w:rPr>
        <w:t>E. 1</w:t>
      </w:r>
    </w:p>
    <w:p>
      <w:r>
        <w:t>Interjeté en temps utile devant la juridiction compétente, le recours est recevable de ces points de vue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 12 septembre 1985 - LPA - E 5 10).</w:t>
      </w:r>
    </w:p>
    <w:p>
      <w:r>
        <w:rPr>
          <w:b/>
        </w:rPr>
        <w:t>E. 2</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(ATA/29/2016 précité consid. 2c ; ATA/171/2014 précité consid. 2c et les références citées).</w:t>
      </w:r>
    </w:p>
    <w:p>
      <w:r>
        <w:rPr>
          <w:b/>
        </w:rPr>
        <w:t>E. 3</w:t>
      </w:r>
    </w:p>
    <w:p>
      <w:r>
        <w:t>En l’espèce, le recourant n’a pas indiqué clairement ce qu’il sollicitait en rapport avec la décision de l’intimée du 31 mars 2016. Le fait que, le cas échéant, la prison ouvrirait ses courriers ne saurait l’exempter d’indiquer même brièvement ses conclusions et ses motifs à l’encontre de la décision attaquée. En outre, l’intéressé n’a, dans ses actes, formulé aucune phrase concernant le motif de la punition du 31 mars 2016 et éventuellement la contestation de ce motif, lesdits actes se limitant à relever de manière générale des maltraitances et des conditions d’incarcération difficiles et de s’interroger sur les causes de celles-ci. Ayant</w:t>
      </w:r>
    </w:p>
    <w:p>
      <w:r>
        <w:t>- 4/5 - A/1304/2016 bénéficié d’un délai suffisant pour réparer les vices de son acte initial daté du 25 avril 2016, le recourant n’y a pas remédié par sa lettre du 30 mai 2016.</w:t>
      </w:r>
    </w:p>
    <w:p>
      <w:r>
        <w:rPr>
          <w:b/>
        </w:rPr>
        <w:t>E. 4</w:t>
      </w:r>
    </w:p>
    <w:p>
      <w:r>
        <w:t>Vu ce qui précède, les conditions afférentes aux conclusions et aux motifs requises par l’art. 65 al. 1 et 2 LPA n’étant manifestement pas remplie, le recours sera déclaré irrecevable, ce sans instruction préalable en application de l’art. 72 LPA.</w:t>
      </w:r>
    </w:p>
    <w:p>
      <w:r>
        <w:t>Vu la nature du litige, aucun émolument ne sera perçu (art. 87 al. 1 LPA ; art. 12 du règlement sur les frais, émoluments et indemnités en procédure administrative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